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360D" w14:textId="456122AD" w:rsidR="00447C30" w:rsidRPr="002812C1" w:rsidRDefault="00447C30" w:rsidP="00447C30">
      <w:pPr>
        <w:keepNext/>
        <w:spacing w:after="120"/>
        <w:outlineLvl w:val="1"/>
        <w:rPr>
          <w:bCs/>
          <w:color w:val="CC0000"/>
          <w:sz w:val="44"/>
          <w:szCs w:val="44"/>
        </w:rPr>
      </w:pPr>
      <w:proofErr w:type="spellStart"/>
      <w:r w:rsidRPr="002812C1">
        <w:rPr>
          <w:bCs/>
          <w:iCs/>
          <w:color w:val="CC0000"/>
          <w:sz w:val="44"/>
          <w:szCs w:val="44"/>
        </w:rPr>
        <w:t>Infohabitar</w:t>
      </w:r>
      <w:proofErr w:type="spellEnd"/>
      <w:r w:rsidRPr="002812C1">
        <w:rPr>
          <w:bCs/>
          <w:iCs/>
          <w:color w:val="CC0000"/>
          <w:sz w:val="44"/>
          <w:szCs w:val="44"/>
        </w:rPr>
        <w:t>, Ano XVI</w:t>
      </w:r>
      <w:r w:rsidR="00975B4B">
        <w:rPr>
          <w:bCs/>
          <w:iCs/>
          <w:color w:val="CC0000"/>
          <w:sz w:val="44"/>
          <w:szCs w:val="44"/>
        </w:rPr>
        <w:t>I</w:t>
      </w:r>
      <w:r w:rsidRPr="002812C1">
        <w:rPr>
          <w:bCs/>
          <w:iCs/>
          <w:color w:val="CC0000"/>
          <w:sz w:val="44"/>
          <w:szCs w:val="44"/>
        </w:rPr>
        <w:t xml:space="preserve">, n.º </w:t>
      </w:r>
      <w:r w:rsidR="00975B4B">
        <w:rPr>
          <w:bCs/>
          <w:iCs/>
          <w:color w:val="CC0000"/>
          <w:sz w:val="44"/>
          <w:szCs w:val="44"/>
        </w:rPr>
        <w:t>7</w:t>
      </w:r>
      <w:r w:rsidR="00165B36">
        <w:rPr>
          <w:bCs/>
          <w:iCs/>
          <w:color w:val="CC0000"/>
          <w:sz w:val="44"/>
          <w:szCs w:val="44"/>
        </w:rPr>
        <w:t>79</w:t>
      </w:r>
      <w:r w:rsidRPr="002812C1">
        <w:rPr>
          <w:bCs/>
          <w:iCs/>
          <w:color w:val="CC0000"/>
          <w:sz w:val="44"/>
          <w:szCs w:val="44"/>
        </w:rPr>
        <w:t xml:space="preserve"> </w:t>
      </w:r>
    </w:p>
    <w:p w14:paraId="3C269306" w14:textId="77777777" w:rsidR="00447C30" w:rsidRDefault="00447C30" w:rsidP="00447C30">
      <w:pPr>
        <w:keepNext/>
        <w:spacing w:after="120"/>
        <w:outlineLvl w:val="1"/>
        <w:rPr>
          <w:rStyle w:val="StyleGaramond"/>
          <w:sz w:val="24"/>
        </w:rPr>
      </w:pPr>
    </w:p>
    <w:p w14:paraId="2EE3223A" w14:textId="15A98FED" w:rsidR="00447C30" w:rsidRDefault="00165B36" w:rsidP="00447C30">
      <w:pPr>
        <w:keepNext/>
        <w:spacing w:after="120"/>
        <w:outlineLvl w:val="1"/>
        <w:rPr>
          <w:rFonts w:cs="Arial"/>
          <w:kern w:val="0"/>
          <w:sz w:val="36"/>
          <w:szCs w:val="36"/>
          <w:lang w:eastAsia="en-US" w:bidi="he-IL"/>
        </w:rPr>
      </w:pPr>
      <w:r w:rsidRPr="00165B36">
        <w:rPr>
          <w:rFonts w:cs="Arial"/>
          <w:kern w:val="0"/>
          <w:lang w:eastAsia="en-US" w:bidi="he-IL"/>
        </w:rPr>
        <w:t xml:space="preserve">Opções de compartimentação na habitação – </w:t>
      </w:r>
      <w:proofErr w:type="spellStart"/>
      <w:r w:rsidRPr="00165B36">
        <w:rPr>
          <w:rFonts w:cs="Arial"/>
          <w:kern w:val="0"/>
          <w:lang w:eastAsia="en-US" w:bidi="he-IL"/>
        </w:rPr>
        <w:t>infohabitar</w:t>
      </w:r>
      <w:proofErr w:type="spellEnd"/>
      <w:r w:rsidRPr="00165B36">
        <w:rPr>
          <w:rFonts w:cs="Arial"/>
          <w:kern w:val="0"/>
          <w:lang w:eastAsia="en-US" w:bidi="he-IL"/>
        </w:rPr>
        <w:t xml:space="preserve"> # 779</w:t>
      </w:r>
    </w:p>
    <w:p w14:paraId="5AA4C4C4" w14:textId="77777777" w:rsidR="00447C30" w:rsidRDefault="00447C30" w:rsidP="00447C30">
      <w:pPr>
        <w:rPr>
          <w:color w:val="000000"/>
          <w:sz w:val="24"/>
          <w:szCs w:val="24"/>
        </w:rPr>
      </w:pPr>
    </w:p>
    <w:p w14:paraId="7E1D67CB" w14:textId="3A7C1872" w:rsidR="00447C30" w:rsidRDefault="00D33F07" w:rsidP="00447C3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António Baptista Coelho</w:t>
      </w:r>
    </w:p>
    <w:p w14:paraId="45C29FD6" w14:textId="6E0CF6A0" w:rsidR="00165B36" w:rsidRPr="002812C1" w:rsidRDefault="00165B36" w:rsidP="00447C3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(texto e desenho)</w:t>
      </w:r>
    </w:p>
    <w:p w14:paraId="4923D9B8" w14:textId="77777777" w:rsidR="00447C30" w:rsidRDefault="00447C30" w:rsidP="00AE3293">
      <w:pPr>
        <w:pStyle w:val="Ttulo4"/>
      </w:pPr>
    </w:p>
    <w:p w14:paraId="7F645529" w14:textId="281F2CAB" w:rsidR="00447C30" w:rsidRPr="00F77C6E" w:rsidRDefault="00F77C6E" w:rsidP="00AE3293">
      <w:pPr>
        <w:pStyle w:val="Ttulo4"/>
        <w:rPr>
          <w:b w:val="0"/>
          <w:bCs w:val="0"/>
          <w:i/>
          <w:iCs/>
        </w:rPr>
      </w:pPr>
      <w:r w:rsidRPr="00FB69B0">
        <w:rPr>
          <w:b w:val="0"/>
          <w:bCs w:val="0"/>
          <w:i/>
          <w:iCs/>
        </w:rPr>
        <w:t xml:space="preserve">Artigo integrado na série editorial da </w:t>
      </w:r>
      <w:proofErr w:type="spellStart"/>
      <w:r w:rsidRPr="00FB69B0">
        <w:rPr>
          <w:b w:val="0"/>
          <w:bCs w:val="0"/>
          <w:i/>
          <w:iCs/>
        </w:rPr>
        <w:t>Infohabitar</w:t>
      </w:r>
      <w:proofErr w:type="spellEnd"/>
      <w:r w:rsidRPr="00FB69B0">
        <w:rPr>
          <w:b w:val="0"/>
          <w:bCs w:val="0"/>
          <w:i/>
          <w:iCs/>
        </w:rPr>
        <w:t xml:space="preserve"> “Habitar e viver melhor”</w:t>
      </w:r>
    </w:p>
    <w:p w14:paraId="4724069F" w14:textId="77777777" w:rsidR="00447C30" w:rsidRDefault="00447C30" w:rsidP="00AE3293">
      <w:pPr>
        <w:pStyle w:val="Ttulo4"/>
      </w:pPr>
    </w:p>
    <w:p w14:paraId="4C1EDDFF" w14:textId="77777777" w:rsidR="00447C30" w:rsidRPr="00165B36" w:rsidRDefault="00447C30" w:rsidP="00165B36">
      <w:pPr>
        <w:pStyle w:val="Ttulo4"/>
        <w:spacing w:before="360" w:after="120"/>
        <w:rPr>
          <w:sz w:val="32"/>
          <w:szCs w:val="32"/>
        </w:rPr>
      </w:pPr>
      <w:r w:rsidRPr="00165B36">
        <w:rPr>
          <w:sz w:val="32"/>
          <w:szCs w:val="32"/>
        </w:rPr>
        <w:t>Resumo</w:t>
      </w:r>
    </w:p>
    <w:p w14:paraId="2C336EA3" w14:textId="59CC1935" w:rsidR="00165B36" w:rsidRPr="00165B36" w:rsidRDefault="00165B36" w:rsidP="00165B36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165B36">
        <w:rPr>
          <w:b w:val="0"/>
          <w:i/>
          <w:sz w:val="22"/>
          <w:szCs w:val="22"/>
          <w:lang w:bidi="he-IL"/>
        </w:rPr>
        <w:t>Neste artigo, dedicado a uma reflexão sobre as opções de compartimentação na habitação, inicia-se o desenvolvimento da temática com a indicação do que se considera ser a urgência da abordagem do tema e numa perspetiva ampla e integradora.</w:t>
      </w:r>
    </w:p>
    <w:p w14:paraId="4C283A6E" w14:textId="6DB6E4B8" w:rsidR="00165B36" w:rsidRPr="00165B36" w:rsidRDefault="00165B36" w:rsidP="00165B36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165B36">
        <w:rPr>
          <w:b w:val="0"/>
          <w:i/>
          <w:sz w:val="22"/>
          <w:szCs w:val="22"/>
          <w:lang w:bidi="he-IL"/>
        </w:rPr>
        <w:t>Avança-se, em seguida, para a exploração de diversos caminhos de consideração das opções domésticas de compartimentação, primeiro de uma forma mais ampla e de certo modo “tipológica” e, depois, apontando-se alguns caminhos, considerados (mais) práticos da compartimentação doméstica. Depois a compartimentação doméstica é um pouco discutida tendo-se em conta a dimensão e a idade das famílias</w:t>
      </w:r>
    </w:p>
    <w:p w14:paraId="3E567849" w14:textId="77777777" w:rsidR="00165B36" w:rsidRPr="00165B36" w:rsidRDefault="00165B36" w:rsidP="00165B36">
      <w:pPr>
        <w:pStyle w:val="Ttulo4"/>
        <w:spacing w:after="120"/>
        <w:rPr>
          <w:b w:val="0"/>
          <w:i/>
          <w:sz w:val="22"/>
          <w:szCs w:val="22"/>
          <w:lang w:bidi="he-IL"/>
        </w:rPr>
      </w:pPr>
      <w:r w:rsidRPr="00165B36">
        <w:rPr>
          <w:b w:val="0"/>
          <w:i/>
          <w:sz w:val="22"/>
          <w:szCs w:val="22"/>
          <w:lang w:bidi="he-IL"/>
        </w:rPr>
        <w:t xml:space="preserve">Finalmente e a modos de comentário final associa-se esta pequena reflexão sobre a compartimentação doméstica à, sempre presente, importância da qualidade </w:t>
      </w:r>
      <w:proofErr w:type="spellStart"/>
      <w:r w:rsidRPr="00165B36">
        <w:rPr>
          <w:b w:val="0"/>
          <w:i/>
          <w:sz w:val="22"/>
          <w:szCs w:val="22"/>
          <w:lang w:bidi="he-IL"/>
        </w:rPr>
        <w:t>arquitectónica</w:t>
      </w:r>
      <w:proofErr w:type="spellEnd"/>
      <w:r w:rsidRPr="00165B36">
        <w:rPr>
          <w:b w:val="0"/>
          <w:i/>
          <w:sz w:val="22"/>
          <w:szCs w:val="22"/>
          <w:lang w:bidi="he-IL"/>
        </w:rPr>
        <w:t xml:space="preserve"> dos respetivos projetos.</w:t>
      </w:r>
    </w:p>
    <w:p w14:paraId="5737707A" w14:textId="4DCC2850" w:rsidR="00447C30" w:rsidRDefault="004B6627" w:rsidP="00975B4B">
      <w:pPr>
        <w:keepNext/>
        <w:spacing w:after="120"/>
        <w:outlineLvl w:val="1"/>
        <w:rPr>
          <w:rFonts w:cs="Arial"/>
          <w:b w:val="0"/>
          <w:sz w:val="24"/>
          <w:szCs w:val="24"/>
          <w:highlight w:val="cyan"/>
        </w:rPr>
      </w:pPr>
      <w:r>
        <w:rPr>
          <w:b w:val="0"/>
          <w:i/>
          <w:kern w:val="0"/>
          <w:sz w:val="22"/>
          <w:szCs w:val="22"/>
          <w:lang w:eastAsia="en-US" w:bidi="he-IL"/>
        </w:rPr>
        <w:t xml:space="preserve"> </w:t>
      </w:r>
    </w:p>
    <w:p w14:paraId="04E2E74B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0FCFDC1A" w14:textId="1C714C4D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4188D75A" w14:textId="77777777" w:rsidR="00165B36" w:rsidRDefault="00165B36" w:rsidP="00447C30">
      <w:pPr>
        <w:rPr>
          <w:rFonts w:cs="Arial"/>
          <w:b w:val="0"/>
          <w:sz w:val="24"/>
          <w:szCs w:val="24"/>
          <w:highlight w:val="cyan"/>
        </w:rPr>
      </w:pPr>
    </w:p>
    <w:p w14:paraId="462FFA1C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1. Sobre a ampla e urgente temática da compartimentação doméstica</w:t>
      </w:r>
    </w:p>
    <w:p w14:paraId="399ACE0D" w14:textId="6CCD064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As questões associadas à compartimentação doméstica constituem-se, por um lado, provavelmente nas temáticas mais debatidas e comuns da qualidade do habitar, bem presentes na sempre presente referência ao n.º de assoalhadas de uma dada habitação – número de compartimentos de uma habitação, excluindo arrumos, despensas, casas de banho e cozinha (“a casa que visitei tinha 4 assoalhadas”); referência estaque tem vindo a ser substituída pela, sempre mais hermética, referencia ao número de quartos, concretizada, por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exemplo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, na designação “ T2 ou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>T3”, referida a habitações, respetivamente, com 2 ou 3 quartos – estes mesmos habitualmente referidos a “quartos de dormir” – uma designação que ela própria nos leva longe.</w:t>
      </w:r>
    </w:p>
    <w:p w14:paraId="02DFA650" w14:textId="79E7B482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Há variadas formas de abordar a temática da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compartimentação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doméstica sendo que, e primeiro lugar, importa salientar que é mais do que tempo de questionar as “bases mesmo” de uma tal compartimentação, pois,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tantas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vezes, nos sentimos melhor e servem-nos melhor espaços 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subespaços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domésticos que não têm lugar em tais categorias de análise/definição – por exemplo, aquele pequeno recanto de uma grande cozinha onde tanto se lê o jornal e mesmo um livro, como se vai convivendo, aquela posição da mesa de jantar que a torna extremamente mais agradável e multifuncional do que tantas outras posições, talvez mais formais e desligadas da envolvente.</w:t>
      </w:r>
    </w:p>
    <w:p w14:paraId="58FBF984" w14:textId="19E9B83F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Talvez mais do que numa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compartimentação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a habitação viva e deva viver numa natural, mas compassada, continuidade de espaços 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subespaços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volumétrica e ambientalmente qualificados, onde, em cada um deles, possam acontecer</w:t>
      </w:r>
      <w:proofErr w:type="gramStart"/>
      <w:r w:rsidRPr="00165B36">
        <w:rPr>
          <w:b w:val="0"/>
          <w:kern w:val="0"/>
          <w:sz w:val="22"/>
          <w:szCs w:val="22"/>
          <w:lang w:eastAsia="en-US" w:bidi="he-IL"/>
        </w:rPr>
        <w:t>/”suceder</w:t>
      </w:r>
      <w:proofErr w:type="gramEnd"/>
      <w:r w:rsidRPr="00165B36">
        <w:rPr>
          <w:b w:val="0"/>
          <w:kern w:val="0"/>
          <w:sz w:val="22"/>
          <w:szCs w:val="22"/>
          <w:lang w:eastAsia="en-US" w:bidi="he-IL"/>
        </w:rPr>
        <w:t>” um razoável leque de atividades, ações e comportamentos mais individuais ou mais de grupo.</w:t>
      </w:r>
    </w:p>
    <w:p w14:paraId="55A02E79" w14:textId="694D282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E talvez mais do que numa rígida repartição/separação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compartimentística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, aliás, ainda mais rígida e globalmente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monofuncional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devido à “incontornável” hierarquização doméstica (das zonas mais sociais, mais íntimas e mesmo privadas), a habitação se possa,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novamente</w:t>
      </w:r>
      <w:r w:rsidRPr="00165B36">
        <w:rPr>
          <w:b w:val="0"/>
          <w:kern w:val="0"/>
          <w:sz w:val="22"/>
          <w:szCs w:val="22"/>
          <w:lang w:eastAsia="en-US" w:bidi="he-IL"/>
        </w:rPr>
        <w:t>, compor de espaços razoavelmente multifuncionais e com uma significativa capacidade estratégica e previamente bem definida (ausência de elementos estruturais e de instalações) para se poderem fundir (ex., dois espaços tornando-se um) e cindir (ex., um espaço tornando-se dois).</w:t>
      </w:r>
    </w:p>
    <w:p w14:paraId="7D23A98D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2. Opções domésticas de compartimentação</w:t>
      </w:r>
    </w:p>
    <w:p w14:paraId="5C2C7F01" w14:textId="36BBA9BB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De certa forma, deixando-se o amplo caminho de reflexão e discussão, que acabou de ser seguido, um pouco em suspenso, proporcionando-se outras reflexões posteriores e mais aprofundadas, vamos, em seguida, procurar aplicar um pouco estas ideias em termos de propostas práticas de organização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doméstica</w:t>
      </w:r>
      <w:r w:rsidRPr="00165B36">
        <w:rPr>
          <w:b w:val="0"/>
          <w:kern w:val="0"/>
          <w:sz w:val="22"/>
          <w:szCs w:val="22"/>
          <w:lang w:eastAsia="en-US" w:bidi="he-IL"/>
        </w:rPr>
        <w:t>.</w:t>
      </w:r>
    </w:p>
    <w:p w14:paraId="32114213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Neste sentido, trata-se, em seguida, da possibilidade de juntar e dividir compartimentos e espaços, da escolha entre ter mais compartimentos mais pequenos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>ou menos compartimentos maiores e, finalmente, da separação entre zonas mais sociais ou mais íntimas.</w:t>
      </w:r>
    </w:p>
    <w:p w14:paraId="5B209E47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2.1. Possibilidade de juntar e dividir compartimentos e espaços</w:t>
      </w:r>
    </w:p>
    <w:p w14:paraId="0D64FFA9" w14:textId="452003A9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 possibilidade de juntar e dividir compartimentos e espaços, desde que feita com um mínimo de despesas, permite uma forte adaptação da casa ao crescimento da família (mais quartos para os filhos) e, mais tarde, a criação de amplas zonas de estar, de trabalho e lazer em casa (quando os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filhos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deixam o fogo).</w:t>
      </w:r>
    </w:p>
    <w:p w14:paraId="76B09F27" w14:textId="483AC0A0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Uma tal possibilidade pode estar já parcialmente concretizada, por exemplo, através dos compartimentos maiores com “golas”, que proporcionavam usos globais, minimamente destacados (ex., zona de estar e zona de refeições formais) ou assumidamente destacados, por exemplo, através do fecho da zona da “gola” por estante ou mesmo por tabique. E não será pode acaso que tais soluções caíram, de certa forma em desuso, pois definiam uma tipologia doméstica um pouco ambígua e comercialmente menos atraente (ex., T3/4 em vez de T4); uma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situação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que, tal como outras, põe em destaque a necessidade de se dinamizar uma cultura de qualificação doméstica muito menos “quantitativa” e mais associada a um amplo leque de qualidades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arquitectónicas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residenciais – qualidades estas hoje em dia apenas “praticadas”, e muitas vezes parcialmente, na habitação destinada aos grupos sociais mais favorecidos.</w:t>
      </w:r>
    </w:p>
    <w:p w14:paraId="70D6942D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2.2. Maior número de compartimentos, embora mais pequenos</w:t>
      </w:r>
    </w:p>
    <w:p w14:paraId="72FF69AC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A existência de um maior número de compartimentos, embora mais pequenos, é fundamental para que os jovens tenham o seu espaço privativo (formação da personalidade e repositório do mundo pessoal de cada um).</w:t>
      </w:r>
    </w:p>
    <w:p w14:paraId="4B85D7E8" w14:textId="100A26A4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Cabe talvez aqui uma referência específica a muitas das soluções domésticas aplicadas no excelente Bairro de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Alvalade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em Lisboa e designadamente nas suas “células” ditas sociais, onde, mercê de um aturado estudo funcional e de movimentações domésticas, se viabilizaram conteúdos espaciais e funcionais marcados, frequentemente, por esse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privilegiar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de um maior número de compartimentos embora não espacialmente folgados; numa condição que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 xml:space="preserve">provavelmente também decorrente desse excelente estudo inicial proporcionou, para além desse serviço “de primeira geração” de habitantes muito favorecedor da individualidade e do desenvolvimento dos variados mundos pessoais, ocupações e apropriações posteriores muito interessantes e adequadas à evolução das famílias (ex., pequena cozinha que se prolonga por quarto contíguo, criando-se uma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pequena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sala de família; quarto junto da entrada que se transforma em escritório, etc.).</w:t>
      </w:r>
    </w:p>
    <w:p w14:paraId="68B8B2D3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E daqui se retira também, novamente, a importância de um verdadeiro estudo básico espacial e funcional, estudo este que se aplica a todas as categorias de espaciosidade doméstica, mas que, evidentemente, é muito crítico quando estamos a “jogar” com áreas reduzidas e dimensões arriscadamente perto dos mínimos; estudo este que, evidentemente, não se tem de repetir em cada exercício prático, mas que deve sempre obrigar a uma cuidada e bem baseada reflexão e, designadamente, a comparações e consultas de projetos e casos de referência.</w:t>
      </w:r>
    </w:p>
    <w:p w14:paraId="10B136CD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2.3. Menor número de compartimentos, mais espaçosos</w:t>
      </w:r>
    </w:p>
    <w:p w14:paraId="79900A65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A opção por espaços mais generosos, um pouco em detrimento da individualização dos espaços, embora possa ser justificada, quando há um modo de vida familiar marcadamente “comunitário” e desinibido ou pouco formal, tem quase sempre contrapartidas negativas na necessária privacidade de cada um, que é uma necessidade complementar à formação e ao equilíbrio da personalidade.</w:t>
      </w:r>
    </w:p>
    <w:p w14:paraId="25EBC02D" w14:textId="70790DB5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Afinal há que deixar a cada um, sempre que seja possível, a possibilidade de uma construção gradual do seu </w:t>
      </w:r>
      <w:r w:rsidR="00165B36">
        <w:rPr>
          <w:b w:val="0"/>
          <w:kern w:val="0"/>
          <w:sz w:val="22"/>
          <w:szCs w:val="22"/>
          <w:lang w:eastAsia="en-US" w:bidi="he-IL"/>
        </w:rPr>
        <w:t>r</w:t>
      </w:r>
      <w:r w:rsidRPr="00165B36">
        <w:rPr>
          <w:b w:val="0"/>
          <w:kern w:val="0"/>
          <w:sz w:val="22"/>
          <w:szCs w:val="22"/>
          <w:lang w:eastAsia="en-US" w:bidi="he-IL"/>
        </w:rPr>
        <w:t>espetivo e “próprio” pequeno mundo doméstico, sendo para tal necessário, pelo menos, um espaço mínimo, adequadamente organizado e expressivamente apropriável; desta forma e talvez só desta forma sejam de aceitar as referidas opções domésticas muito unificadas e de grupo, pois cada um terá sempre o seu “recanto”, o seu pequeno espaço de remanso/retiro e de algum estratégico e relativo isolamento.</w:t>
      </w:r>
    </w:p>
    <w:p w14:paraId="60383F02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Ainda nesta perspetiva de desenvolvimento de menos compartimentos mas mais espaçosos, importa considerar que estes deverão proporcionar, mais do que a sua ocupação espacial e funcional por “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microespaços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” com variadas multifuncionalidades, que tais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microespaços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possam ser extensa e intensamente apropriados; afinal, a quantidade de espaço, tomada essencialmente como isso mesmo, “quantidade”,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>nunca será sinónimo de qualidade doméstica e não podemos esquecer que há, até, grandes salas miseravelmente ocupáveis em termos de uma adequada multifuncionalidade.</w:t>
      </w:r>
    </w:p>
    <w:p w14:paraId="68D62690" w14:textId="77777777" w:rsidR="00D50A47" w:rsidRPr="00FB2E35" w:rsidRDefault="00D50A47" w:rsidP="00165B36">
      <w:pPr>
        <w:spacing w:after="240"/>
        <w:jc w:val="center"/>
        <w:rPr>
          <w:rFonts w:cs="Arial"/>
          <w:b w:val="0"/>
          <w:color w:val="000000"/>
          <w:sz w:val="24"/>
          <w:szCs w:val="24"/>
        </w:rPr>
      </w:pPr>
      <w:r w:rsidRPr="00FB2E35">
        <w:rPr>
          <w:rFonts w:cs="Arial"/>
          <w:b w:val="0"/>
          <w:color w:val="000000"/>
          <w:sz w:val="24"/>
          <w:szCs w:val="24"/>
        </w:rPr>
        <w:br/>
      </w:r>
      <w:r>
        <w:rPr>
          <w:rFonts w:cs="Arial"/>
          <w:b w:val="0"/>
          <w:noProof/>
          <w:color w:val="0000FF"/>
          <w:sz w:val="24"/>
          <w:szCs w:val="24"/>
          <w:lang w:bidi="he-IL"/>
        </w:rPr>
        <w:drawing>
          <wp:inline distT="0" distB="0" distL="0" distR="0" wp14:anchorId="6347ACB0" wp14:editId="4FB8D432">
            <wp:extent cx="3251200" cy="3474720"/>
            <wp:effectExtent l="19050" t="0" r="6350" b="0"/>
            <wp:docPr id="1" name="Imagem 1" descr="495%2B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5%2B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23F4C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Fig. 1: Considerando-se o desenvolvimento de menos </w:t>
      </w:r>
      <w:proofErr w:type="gramStart"/>
      <w:r w:rsidRPr="00165B36">
        <w:rPr>
          <w:b w:val="0"/>
          <w:kern w:val="0"/>
          <w:sz w:val="22"/>
          <w:szCs w:val="22"/>
          <w:lang w:eastAsia="en-US" w:bidi="he-IL"/>
        </w:rPr>
        <w:t>compartimentos</w:t>
      </w:r>
      <w:proofErr w:type="gramEnd"/>
      <w:r w:rsidRPr="00165B36">
        <w:rPr>
          <w:b w:val="0"/>
          <w:kern w:val="0"/>
          <w:sz w:val="22"/>
          <w:szCs w:val="22"/>
          <w:lang w:eastAsia="en-US" w:bidi="he-IL"/>
        </w:rPr>
        <w:t xml:space="preserve"> mas mais espaçosos, importa ter em conta que estes deverão proporcionar, mais do que a sua ocupação espacial e funcional por “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microespaços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” com variadas multifuncionalidades, que tais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microespaços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possam ser extensa e intensamente apropriados.</w:t>
      </w:r>
    </w:p>
    <w:p w14:paraId="57933068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3. Alguns caminhos (mais) práticos da compartimentação doméstica</w:t>
      </w:r>
    </w:p>
    <w:p w14:paraId="44B4F1E7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Sala ampla ou subdividida em dois espaços</w:t>
      </w:r>
    </w:p>
    <w:p w14:paraId="6CB108E0" w14:textId="00FEDE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 questão da escolha entre mais compartimentos mais pequenos ou menos compartimentos maiores e a da separação entre a sala e a zona de quartos (zona íntima) encontra um "terreno" propício, embora mais pormenorizado, na opção entre uma sala ampla e uma outra parcialmente subdividida em dois espaços; sendo um deles estrategicamente mais relacionado com a zona de quartos,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e</w:t>
      </w:r>
      <w:r w:rsidR="00165B36">
        <w:rPr>
          <w:b w:val="0"/>
          <w:kern w:val="0"/>
          <w:sz w:val="22"/>
          <w:szCs w:val="22"/>
          <w:lang w:eastAsia="en-US" w:bidi="he-IL"/>
        </w:rPr>
        <w:t>n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quanto o outro se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 xml:space="preserve">abre, preferencialmente, para a entrada do fogo e se conjuga, mais ou menos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diretamente</w:t>
      </w:r>
      <w:r w:rsidRPr="00165B36">
        <w:rPr>
          <w:b w:val="0"/>
          <w:kern w:val="0"/>
          <w:sz w:val="22"/>
          <w:szCs w:val="22"/>
          <w:lang w:eastAsia="en-US" w:bidi="he-IL"/>
        </w:rPr>
        <w:t>, com a cozinha.</w:t>
      </w:r>
    </w:p>
    <w:p w14:paraId="5EAE7109" w14:textId="0EC86615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Uma sala constituída por uma única zona ampla e regular (sem grandes recantos) constitui um espaço muito diferente de uma outra sala organizada em duas zonas mutuamente articuladas e diversa e estrategicamente ligadas aos restantes espaços do fogo; esta diferença é fundamental, devendo ser muito cuidadosamente ponderada, quando se dispõe de áreas controladas a atribuir aos diversos espaços domésticos (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Ex</w:t>
      </w:r>
      <w:r w:rsidRPr="00165B36">
        <w:rPr>
          <w:b w:val="0"/>
          <w:kern w:val="0"/>
          <w:sz w:val="22"/>
          <w:szCs w:val="22"/>
          <w:lang w:eastAsia="en-US" w:bidi="he-IL"/>
        </w:rPr>
        <w:t>º, habitação social ou de "custos controlados").</w:t>
      </w:r>
    </w:p>
    <w:p w14:paraId="65334341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Parece ser natural, no caso de áreas relativamente restritas, a primeira opção, por uma sala regular e num único espaço; no entanto, quando a solução em dois espaços se integra perfeitamente na organização do fogo, através da criação de zonas multifuncionais, que não provoquem problemas de privacidade, esta solução é mais rica e caracterizadora do espaço doméstico (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ex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>º, zona de entrada no fogo bem articulada, ou integrada, com uma zona da sala muito adequada para as refeições formais e com a circulação que leva à zona de quartos, proporcionando-se uma segunda zona da sala mais recatada e ainda ampla).</w:t>
      </w:r>
    </w:p>
    <w:p w14:paraId="7AA7FE69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Cozinha ampla ou subdividida em dois espaços</w:t>
      </w:r>
    </w:p>
    <w:p w14:paraId="19D7EE45" w14:textId="3A3F1CD8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Estas questões da compartimentação e de, podemos chamar “para-compartimentação”, aplicam-se, também, de forma interessante na zona de cozinha, produzindo-se duas “situações-limite”, ambas marcadas por uma expressiva capacidade de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convívio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doméstico, mas muito distintas, designadamente, em termos de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caracterização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ambiental.</w:t>
      </w:r>
    </w:p>
    <w:p w14:paraId="0BDC84BE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Uma das situações corresponde a uma grande e espaçosa cozinha, que até pode ser ambiental e funcionalmente “tradicional” ou marcada por novos ambientes e tecnologias, mas sempre uma solução em que este compartimento é marcado pela imagem e presença do ambiente cozinha, suas funções e referências.</w:t>
      </w:r>
    </w:p>
    <w:p w14:paraId="25DD1EED" w14:textId="669C2D0D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 outra situação liga-se a uma zona doméstica em dois espaços </w:t>
      </w:r>
      <w:proofErr w:type="gramStart"/>
      <w:r w:rsidRPr="00165B36">
        <w:rPr>
          <w:b w:val="0"/>
          <w:kern w:val="0"/>
          <w:sz w:val="22"/>
          <w:szCs w:val="22"/>
          <w:lang w:eastAsia="en-US" w:bidi="he-IL"/>
        </w:rPr>
        <w:t>articulados</w:t>
      </w:r>
      <w:proofErr w:type="gramEnd"/>
      <w:r w:rsidRPr="00165B36">
        <w:rPr>
          <w:b w:val="0"/>
          <w:kern w:val="0"/>
          <w:sz w:val="22"/>
          <w:szCs w:val="22"/>
          <w:lang w:eastAsia="en-US" w:bidi="he-IL"/>
        </w:rPr>
        <w:t xml:space="preserve"> mas razoavelmente distintos na sua caraterização ambiental, sendo um deles mais de cozinha e outro mais de estar informal e familiar, podendo existir uma zona de refeições correntes na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transição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entre estes dois espaços.</w:t>
      </w:r>
    </w:p>
    <w:p w14:paraId="2EF842E4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lastRenderedPageBreak/>
        <w:t>Um corredor que além de compartimentar é um compartimento</w:t>
      </w:r>
    </w:p>
    <w:p w14:paraId="052AE1AC" w14:textId="177F7EFD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Ainda nestas questões da compartimentação um dos aspetos que pode marcar, fortemente, a </w:t>
      </w:r>
      <w:r w:rsidR="00165B36" w:rsidRPr="00165B36">
        <w:rPr>
          <w:b w:val="0"/>
          <w:kern w:val="0"/>
          <w:sz w:val="22"/>
          <w:szCs w:val="22"/>
          <w:lang w:eastAsia="en-US" w:bidi="he-IL"/>
        </w:rPr>
        <w:t>organização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doméstica é a possibilidade de a zona de corredor poder constituir-se não apenas como elemento doméstico que apoia a compartimentação da habitação, mas também ela própria, praticamente como compartimento, eventualmente alongado, mas com funções específicas para além das de acessibilidade e separação.</w:t>
      </w:r>
    </w:p>
    <w:p w14:paraId="592049D7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E assim poderemos ter desde corredores que funcionam como pequenas galerias de arte, onde se penduram, por exemplo, gravuras e outros elementos artísticos, a corredores que funcionam como zonas de serviço a longos armários embutidos, até zonas de corredor largas e onde é possível desenvolver atividades de lazer e/ou de trabalho doméstico ou não doméstico (funcionando um pouco como uma saleta alongada e eventualmente informal).</w:t>
      </w:r>
    </w:p>
    <w:p w14:paraId="46BDAC73" w14:textId="6BB245E8" w:rsidR="00D50A47" w:rsidRPr="00FB2E35" w:rsidRDefault="00D50A47" w:rsidP="00165B36">
      <w:pPr>
        <w:keepNext/>
        <w:spacing w:before="360" w:after="240"/>
        <w:outlineLvl w:val="1"/>
      </w:pPr>
      <w:r w:rsidRPr="00FB2E35">
        <w:t>Notas sobre a importância d</w:t>
      </w:r>
      <w:r w:rsidR="00CF06D0">
        <w:t xml:space="preserve">os </w:t>
      </w:r>
      <w:proofErr w:type="spellStart"/>
      <w:r w:rsidR="00CF06D0">
        <w:t>microespaços</w:t>
      </w:r>
      <w:proofErr w:type="spellEnd"/>
      <w:r w:rsidR="00CF06D0">
        <w:t xml:space="preserve"> </w:t>
      </w:r>
      <w:r w:rsidRPr="00FB2E35">
        <w:t>para</w:t>
      </w:r>
      <w:r w:rsidR="00CF06D0">
        <w:t xml:space="preserve"> a </w:t>
      </w:r>
      <w:r w:rsidRPr="00FB2E35">
        <w:t>compartimentação doméstica</w:t>
      </w:r>
    </w:p>
    <w:p w14:paraId="758D8E77" w14:textId="3130CA8C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Remata-se esta reflexão com uma referência à importância que t</w:t>
      </w:r>
      <w:r w:rsidR="00CF06D0">
        <w:rPr>
          <w:b w:val="0"/>
          <w:kern w:val="0"/>
          <w:sz w:val="22"/>
          <w:szCs w:val="22"/>
          <w:lang w:eastAsia="en-US" w:bidi="he-IL"/>
        </w:rPr>
        <w:t>ê</w:t>
      </w:r>
      <w:r w:rsidRPr="00165B36">
        <w:rPr>
          <w:b w:val="0"/>
          <w:kern w:val="0"/>
          <w:sz w:val="22"/>
          <w:szCs w:val="22"/>
          <w:lang w:eastAsia="en-US" w:bidi="he-IL"/>
        </w:rPr>
        <w:t>m para a multifuncionalidade da habitação, na sua globalidade, e para a multifuncionalidade dos diversos compartimentos domésticos que existam estrategicamente disseminados pelo fogo</w:t>
      </w:r>
      <w:r w:rsidR="00CF06D0">
        <w:rPr>
          <w:b w:val="0"/>
          <w:kern w:val="0"/>
          <w:sz w:val="22"/>
          <w:szCs w:val="22"/>
          <w:lang w:eastAsia="en-US" w:bidi="he-IL"/>
        </w:rPr>
        <w:t>, os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microespaços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apenas parcialmente compartimentados e/ou, mais frequentemente, apenas com uma sugestão de separação/para-compartimentação  onde seja possível desmultiplicar as diversas necessidades e os diversos gostos funcionais dos diversos membros da família; e não podemos deixar apenas para o mobiliário esta função, até porque, frequentemente, é bastante reduzida a capacidade dos habitantes para obterem mobiliário de qualidade e para o integrarem e associarem com verdadeira qualidade doméstica – matéria esta à qual iremos voltar em próximos textos.</w:t>
      </w:r>
    </w:p>
    <w:p w14:paraId="529F7180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4. Compartimentação e dimensão das famílias</w:t>
      </w:r>
    </w:p>
    <w:p w14:paraId="49D22885" w14:textId="341245ED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Naturalmente, as famílias pequenas terão preferência por menos compartimentos e mais espaçosos, mas há que acautelar as necessidades em espaços próprios para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atividades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muito exigentes em sossego e relativa independência, como é o caso das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lastRenderedPageBreak/>
        <w:t>atividades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profissionais feitas em casa (algumas recebendo clientes que são estranhos ao lar) e das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atividades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de lazer doméstico e de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passatempos</w:t>
      </w:r>
      <w:r w:rsidRPr="00165B36">
        <w:rPr>
          <w:b w:val="0"/>
          <w:kern w:val="0"/>
          <w:sz w:val="22"/>
          <w:szCs w:val="22"/>
          <w:lang w:eastAsia="en-US" w:bidi="he-IL"/>
        </w:rPr>
        <w:t>, nomeadamente aquelas que exigem espaços e equipamentos especiais (revestimentos laváveis, bancas de trabalho, etc.).</w:t>
      </w:r>
    </w:p>
    <w:p w14:paraId="1E695B2C" w14:textId="4C9E5EEF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Essas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atividades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ficarão </w:t>
      </w:r>
      <w:proofErr w:type="gramStart"/>
      <w:r w:rsidRPr="00165B36">
        <w:rPr>
          <w:b w:val="0"/>
          <w:kern w:val="0"/>
          <w:sz w:val="22"/>
          <w:szCs w:val="22"/>
          <w:lang w:eastAsia="en-US" w:bidi="he-IL"/>
        </w:rPr>
        <w:t>melhor</w:t>
      </w:r>
      <w:proofErr w:type="gramEnd"/>
      <w:r w:rsidRPr="00165B36">
        <w:rPr>
          <w:b w:val="0"/>
          <w:kern w:val="0"/>
          <w:sz w:val="22"/>
          <w:szCs w:val="22"/>
          <w:lang w:eastAsia="en-US" w:bidi="he-IL"/>
        </w:rPr>
        <w:t xml:space="preserve"> situadas em quartos mais relacionados com a zona da sala de estar e fora da tradicional, e sempre desejável, zona de quartos ou zona íntima da casa; esta deve existir, mas nem todos os quartos devem estar nela incluídos (um dos quartos pode ter relação com a sala, servindo para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atividades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menos domésticas ou para o alojamento de um filho mais velho ou de um parente).</w:t>
      </w:r>
    </w:p>
    <w:p w14:paraId="4ADB6D31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>5. Compartimentação e idade das famílias</w:t>
      </w:r>
    </w:p>
    <w:p w14:paraId="5EF8D235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E também, naturalmente, as famílias mais jovens tenderão a sentir-se melhor e mais “à-vontade” em soluções domésticas menos compartimentadas, mais flexíveis, informais e convertíveis, no tempo, por exemplo, simplesmente, através da mudança de colocação de elementos de mobiliário, eles próprios também tendencialmente marcados por aspetos de multifuncionalidade.</w:t>
      </w:r>
    </w:p>
    <w:p w14:paraId="0AA51A31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Enquanto as famílias menos jovens, e que foram, habitualmente, constituindo, ao longo do tempo, um crescente e significativo património de mobiliário e de elementos de decoração e apropriação, tenderão a apreciar mais soluções domésticas mais compartimentadas e talvez até com espaços mais ligados a funções específicas.</w:t>
      </w:r>
    </w:p>
    <w:p w14:paraId="7AEA8298" w14:textId="6AC25BF2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Mas chegando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às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 famílias mais idosas, novamente reduzidas ao casal e, por vezes, a uma pessoa sozinha, fica em aberto, aqui neste texto, qual será ou quais serão as tendências a favorecer em termos da organização, compartimentação e funcionalidade e espacialidade domésticas.</w:t>
      </w:r>
    </w:p>
    <w:p w14:paraId="11A0F549" w14:textId="77777777" w:rsidR="00D50A47" w:rsidRPr="00FB2E35" w:rsidRDefault="00D50A47" w:rsidP="00165B36">
      <w:pPr>
        <w:keepNext/>
        <w:spacing w:before="360" w:after="240"/>
        <w:outlineLvl w:val="1"/>
      </w:pPr>
      <w:r w:rsidRPr="00FB2E35">
        <w:t xml:space="preserve">Breves notas de remate sobre a importância da qualidade </w:t>
      </w:r>
      <w:proofErr w:type="spellStart"/>
      <w:r w:rsidRPr="00FB2E35">
        <w:t>arquitectónica</w:t>
      </w:r>
      <w:proofErr w:type="spellEnd"/>
    </w:p>
    <w:p w14:paraId="66EEB2EE" w14:textId="7D849DD9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>Tal como noutros subtemas desta ampla matéria da qualificação do espaço doméstico, as questões da compartimentação versus desafogo e relativa unidade espacial levam-nos longe e obrigarão à continuidade des</w:t>
      </w:r>
      <w:r w:rsidR="00CF06D0">
        <w:rPr>
          <w:b w:val="0"/>
          <w:kern w:val="0"/>
          <w:sz w:val="22"/>
          <w:szCs w:val="22"/>
          <w:lang w:eastAsia="en-US" w:bidi="he-IL"/>
        </w:rPr>
        <w:t>t</w:t>
      </w:r>
      <w:r w:rsidRPr="00165B36">
        <w:rPr>
          <w:b w:val="0"/>
          <w:kern w:val="0"/>
          <w:sz w:val="22"/>
          <w:szCs w:val="22"/>
          <w:lang w:eastAsia="en-US" w:bidi="he-IL"/>
        </w:rPr>
        <w:t xml:space="preserve">as reflexões, pois, afinal, para que o espaço doméstico – sempre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dimensionalmente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 xml:space="preserve"> relativamente reduzido e limitado – possa cumprir o seu essencial papel de (pequeno) “mundo” e habitat bem </w:t>
      </w:r>
      <w:r w:rsidRPr="00165B36">
        <w:rPr>
          <w:b w:val="0"/>
          <w:kern w:val="0"/>
          <w:sz w:val="22"/>
          <w:szCs w:val="22"/>
          <w:lang w:eastAsia="en-US" w:bidi="he-IL"/>
        </w:rPr>
        <w:lastRenderedPageBreak/>
        <w:t xml:space="preserve">apropriável de uma família e de um habitante, ele tem de se caraterizar por uma extensa riqueza qualitativa, marcada por múltiplos aspetos de técnica e de arte, uns mais objetivos e mensuráveis e outros que não o sendo, são bem da responsabilidade da boa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Arquitectura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>.</w:t>
      </w:r>
    </w:p>
    <w:p w14:paraId="6E534440" w14:textId="77777777" w:rsidR="00D50A47" w:rsidRPr="00FB2E35" w:rsidRDefault="00D50A47" w:rsidP="00D50A47">
      <w:pPr>
        <w:rPr>
          <w:rFonts w:cs="Arial"/>
          <w:b w:val="0"/>
          <w:bCs/>
          <w:sz w:val="28"/>
          <w:szCs w:val="28"/>
        </w:rPr>
      </w:pPr>
    </w:p>
    <w:p w14:paraId="0B6E4BC1" w14:textId="77777777" w:rsidR="00D50A47" w:rsidRPr="00165B36" w:rsidRDefault="00D50A47" w:rsidP="00165B36">
      <w:pPr>
        <w:keepNext/>
        <w:spacing w:before="360" w:after="240"/>
        <w:outlineLvl w:val="1"/>
      </w:pPr>
      <w:r w:rsidRPr="00165B36">
        <w:t>Notas finais editoriais</w:t>
      </w:r>
    </w:p>
    <w:p w14:paraId="215CF25F" w14:textId="53218F3E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Os temas abordados neste artigo </w:t>
      </w:r>
      <w:r w:rsidR="00CF06D0" w:rsidRPr="00165B36">
        <w:rPr>
          <w:b w:val="0"/>
          <w:kern w:val="0"/>
          <w:sz w:val="22"/>
          <w:szCs w:val="22"/>
          <w:lang w:eastAsia="en-US" w:bidi="he-IL"/>
        </w:rPr>
        <w:t>foram inicialmente apontados</w:t>
      </w:r>
      <w:r w:rsidRPr="00165B36">
        <w:rPr>
          <w:b w:val="0"/>
          <w:kern w:val="0"/>
          <w:sz w:val="22"/>
          <w:szCs w:val="22"/>
          <w:lang w:eastAsia="en-US" w:bidi="he-IL"/>
        </w:rPr>
        <w:t>, pelo autor, de forma ainda pouco desenvolvida, para o estudo “Guia do comprador de habitação”, editado pelo Instituto Nacional de Defesa do Consumidor de Portugal em 1991.</w:t>
      </w:r>
    </w:p>
    <w:p w14:paraId="05CAF664" w14:textId="77777777" w:rsidR="00D50A47" w:rsidRPr="00165B36" w:rsidRDefault="00D50A47" w:rsidP="00165B3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165B36">
        <w:rPr>
          <w:b w:val="0"/>
          <w:kern w:val="0"/>
          <w:sz w:val="22"/>
          <w:szCs w:val="22"/>
          <w:lang w:eastAsia="en-US" w:bidi="he-IL"/>
        </w:rPr>
        <w:t xml:space="preserve">O presente artigo corresponde a uma edição ampliada, modificada e revista do artigo que foi editado na </w:t>
      </w:r>
      <w:proofErr w:type="spellStart"/>
      <w:r w:rsidRPr="00165B36">
        <w:rPr>
          <w:b w:val="0"/>
          <w:kern w:val="0"/>
          <w:sz w:val="22"/>
          <w:szCs w:val="22"/>
          <w:lang w:eastAsia="en-US" w:bidi="he-IL"/>
        </w:rPr>
        <w:t>Infohabitar</w:t>
      </w:r>
      <w:proofErr w:type="spellEnd"/>
      <w:r w:rsidRPr="00165B36">
        <w:rPr>
          <w:b w:val="0"/>
          <w:kern w:val="0"/>
          <w:sz w:val="22"/>
          <w:szCs w:val="22"/>
          <w:lang w:eastAsia="en-US" w:bidi="he-IL"/>
        </w:rPr>
        <w:t>, em 11/08/2014, com o n.º 495.</w:t>
      </w:r>
    </w:p>
    <w:p w14:paraId="565AFF91" w14:textId="77777777" w:rsidR="00447C30" w:rsidRDefault="00447C30" w:rsidP="00447C30">
      <w:pPr>
        <w:rPr>
          <w:rStyle w:val="StyleGaramond"/>
          <w:rFonts w:cs="Arial"/>
          <w:b w:val="0"/>
          <w:sz w:val="24"/>
          <w:szCs w:val="24"/>
          <w:highlight w:val="cyan"/>
        </w:rPr>
      </w:pPr>
    </w:p>
    <w:p w14:paraId="383C8370" w14:textId="77777777" w:rsidR="00165B36" w:rsidRPr="0030664B" w:rsidRDefault="00165B36" w:rsidP="00165B36">
      <w:pPr>
        <w:keepNext/>
        <w:spacing w:before="600" w:after="240" w:line="360" w:lineRule="auto"/>
        <w:outlineLvl w:val="1"/>
        <w:rPr>
          <w:rFonts w:cs="Arial"/>
          <w:i/>
          <w:kern w:val="0"/>
          <w:sz w:val="36"/>
          <w:szCs w:val="36"/>
          <w:u w:val="single"/>
          <w:lang w:eastAsia="en-US" w:bidi="he-IL"/>
        </w:rPr>
      </w:pPr>
      <w:r w:rsidRPr="0030664B">
        <w:rPr>
          <w:rFonts w:cs="Arial"/>
          <w:i/>
          <w:kern w:val="0"/>
          <w:sz w:val="36"/>
          <w:szCs w:val="36"/>
          <w:u w:val="single"/>
          <w:lang w:eastAsia="en-US" w:bidi="he-IL"/>
        </w:rPr>
        <w:t>Referências editoriais:</w:t>
      </w:r>
    </w:p>
    <w:p w14:paraId="048B30D7" w14:textId="0121CA6E" w:rsidR="00165B36" w:rsidRPr="0030664B" w:rsidRDefault="00165B36" w:rsidP="00165B36">
      <w:pPr>
        <w:keepNext/>
        <w:spacing w:after="120" w:line="360" w:lineRule="auto"/>
        <w:outlineLvl w:val="1"/>
        <w:rPr>
          <w:i/>
          <w:sz w:val="22"/>
          <w:szCs w:val="22"/>
        </w:rPr>
      </w:pPr>
      <w:r w:rsidRPr="0030664B">
        <w:rPr>
          <w:i/>
          <w:sz w:val="22"/>
          <w:szCs w:val="22"/>
        </w:rPr>
        <w:t xml:space="preserve">1.ª Edição: </w:t>
      </w:r>
      <w:proofErr w:type="spellStart"/>
      <w:r w:rsidRPr="0030664B">
        <w:rPr>
          <w:i/>
          <w:sz w:val="22"/>
          <w:szCs w:val="22"/>
        </w:rPr>
        <w:t>Infohabitar</w:t>
      </w:r>
      <w:proofErr w:type="spellEnd"/>
      <w:r>
        <w:rPr>
          <w:i/>
          <w:sz w:val="22"/>
          <w:szCs w:val="22"/>
        </w:rPr>
        <w:t>, Ano XV</w:t>
      </w:r>
      <w:r w:rsidR="00667D38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I,</w:t>
      </w:r>
      <w:r w:rsidRPr="0030664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n.º 7</w:t>
      </w:r>
      <w:r w:rsidR="00667D38">
        <w:rPr>
          <w:i/>
          <w:sz w:val="22"/>
          <w:szCs w:val="22"/>
        </w:rPr>
        <w:t>79</w:t>
      </w:r>
      <w:r>
        <w:rPr>
          <w:i/>
          <w:sz w:val="22"/>
          <w:szCs w:val="22"/>
        </w:rPr>
        <w:t xml:space="preserve">, terça-feira, </w:t>
      </w:r>
      <w:r w:rsidR="00CF06D0">
        <w:rPr>
          <w:i/>
          <w:sz w:val="22"/>
          <w:szCs w:val="22"/>
        </w:rPr>
        <w:t>junho</w:t>
      </w:r>
      <w:r>
        <w:rPr>
          <w:i/>
          <w:sz w:val="22"/>
          <w:szCs w:val="22"/>
        </w:rPr>
        <w:t xml:space="preserve"> </w:t>
      </w:r>
      <w:r w:rsidR="00CF06D0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, 202</w:t>
      </w:r>
      <w:r w:rsidR="00CF06D0">
        <w:rPr>
          <w:i/>
          <w:sz w:val="22"/>
          <w:szCs w:val="22"/>
        </w:rPr>
        <w:t>1</w:t>
      </w:r>
    </w:p>
    <w:p w14:paraId="6ADD50B7" w14:textId="62E3907E" w:rsidR="00165B36" w:rsidRDefault="00165B36" w:rsidP="00165B36">
      <w:pPr>
        <w:spacing w:after="240" w:line="360" w:lineRule="auto"/>
        <w:rPr>
          <w:bCs/>
          <w:i/>
          <w:color w:val="000000"/>
          <w:sz w:val="22"/>
          <w:szCs w:val="22"/>
        </w:rPr>
      </w:pPr>
      <w:r w:rsidRPr="0030664B">
        <w:rPr>
          <w:bCs/>
          <w:i/>
          <w:color w:val="000000"/>
          <w:sz w:val="22"/>
          <w:szCs w:val="22"/>
        </w:rPr>
        <w:t xml:space="preserve">Link para a 1.ª edição: </w:t>
      </w:r>
      <w:hyperlink r:id="rId10" w:history="1">
        <w:r w:rsidR="00CF06D0" w:rsidRPr="00720552">
          <w:rPr>
            <w:rStyle w:val="Hiperligao"/>
            <w:bCs/>
            <w:i/>
            <w:sz w:val="22"/>
            <w:szCs w:val="22"/>
          </w:rPr>
          <w:t>http://infohabitar.blogspot.com/2021/06/opcoes-de-compartimentacao-na-habitacao.html</w:t>
        </w:r>
      </w:hyperlink>
    </w:p>
    <w:p w14:paraId="6B644087" w14:textId="77777777" w:rsidR="00CF06D0" w:rsidRDefault="00CF06D0" w:rsidP="00165B36">
      <w:pPr>
        <w:spacing w:after="240" w:line="360" w:lineRule="auto"/>
        <w:rPr>
          <w:bCs/>
          <w:i/>
          <w:color w:val="000000"/>
          <w:sz w:val="22"/>
          <w:szCs w:val="22"/>
        </w:rPr>
      </w:pPr>
    </w:p>
    <w:p w14:paraId="476E678E" w14:textId="77777777" w:rsidR="00165B36" w:rsidRPr="00FF5B73" w:rsidRDefault="00165B36" w:rsidP="00165B36">
      <w:pPr>
        <w:spacing w:after="240" w:line="360" w:lineRule="auto"/>
        <w:rPr>
          <w:i/>
          <w:color w:val="000000"/>
          <w:sz w:val="22"/>
          <w:szCs w:val="22"/>
        </w:rPr>
      </w:pPr>
      <w:r w:rsidRPr="00FF5B73">
        <w:rPr>
          <w:i/>
          <w:color w:val="000000"/>
          <w:sz w:val="22"/>
          <w:szCs w:val="22"/>
        </w:rPr>
        <w:t>Etiquetas/</w:t>
      </w:r>
      <w:proofErr w:type="gramStart"/>
      <w:r w:rsidRPr="00FF5B73">
        <w:rPr>
          <w:i/>
          <w:color w:val="000000"/>
          <w:sz w:val="22"/>
          <w:szCs w:val="22"/>
        </w:rPr>
        <w:t>palavras chave</w:t>
      </w:r>
      <w:proofErr w:type="gramEnd"/>
      <w:r w:rsidRPr="00FF5B73">
        <w:rPr>
          <w:i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 xml:space="preserve">habitação, </w:t>
      </w:r>
      <w:r w:rsidRPr="00EB22DE">
        <w:rPr>
          <w:i/>
          <w:color w:val="000000"/>
          <w:sz w:val="22"/>
          <w:szCs w:val="22"/>
        </w:rPr>
        <w:t>funções da habitação,</w:t>
      </w:r>
      <w:r>
        <w:rPr>
          <w:i/>
          <w:color w:val="000000"/>
          <w:sz w:val="22"/>
          <w:szCs w:val="22"/>
        </w:rPr>
        <w:t xml:space="preserve"> </w:t>
      </w:r>
      <w:proofErr w:type="spellStart"/>
      <w:r w:rsidRPr="00EB22DE">
        <w:rPr>
          <w:i/>
          <w:color w:val="000000"/>
          <w:sz w:val="22"/>
          <w:szCs w:val="22"/>
        </w:rPr>
        <w:t>microespaços</w:t>
      </w:r>
      <w:proofErr w:type="spellEnd"/>
      <w:r w:rsidRPr="00EB22DE">
        <w:rPr>
          <w:i/>
          <w:color w:val="000000"/>
          <w:sz w:val="22"/>
          <w:szCs w:val="22"/>
        </w:rPr>
        <w:t xml:space="preserve"> domésticos, ambientes domésticos,</w:t>
      </w:r>
      <w:r>
        <w:rPr>
          <w:i/>
          <w:color w:val="000000"/>
          <w:sz w:val="22"/>
          <w:szCs w:val="22"/>
        </w:rPr>
        <w:t xml:space="preserve"> </w:t>
      </w:r>
      <w:r w:rsidRPr="00EB22DE">
        <w:rPr>
          <w:i/>
          <w:color w:val="000000"/>
          <w:sz w:val="22"/>
          <w:szCs w:val="22"/>
        </w:rPr>
        <w:t>espaços domésticos,</w:t>
      </w:r>
      <w:r>
        <w:rPr>
          <w:i/>
          <w:color w:val="000000"/>
          <w:sz w:val="22"/>
          <w:szCs w:val="22"/>
        </w:rPr>
        <w:t xml:space="preserve"> </w:t>
      </w:r>
      <w:r w:rsidRPr="00EB22DE">
        <w:rPr>
          <w:i/>
          <w:color w:val="000000"/>
          <w:sz w:val="22"/>
          <w:szCs w:val="22"/>
        </w:rPr>
        <w:t>novas organizações domésticas,</w:t>
      </w:r>
      <w:r>
        <w:rPr>
          <w:i/>
          <w:color w:val="000000"/>
          <w:sz w:val="22"/>
          <w:szCs w:val="22"/>
        </w:rPr>
        <w:t xml:space="preserve"> estruturar a habitação</w:t>
      </w:r>
    </w:p>
    <w:p w14:paraId="71877BCA" w14:textId="77777777" w:rsidR="00165B36" w:rsidRDefault="00165B36" w:rsidP="00165B36">
      <w:pPr>
        <w:spacing w:after="240" w:line="360" w:lineRule="auto"/>
        <w:rPr>
          <w:i/>
          <w:color w:val="000000"/>
          <w:sz w:val="22"/>
          <w:szCs w:val="22"/>
        </w:rPr>
      </w:pPr>
    </w:p>
    <w:p w14:paraId="75A4DFFA" w14:textId="77777777" w:rsidR="00165B36" w:rsidRPr="0030664B" w:rsidRDefault="00165B36" w:rsidP="00165B36">
      <w:pPr>
        <w:spacing w:after="240" w:line="360" w:lineRule="auto"/>
        <w:rPr>
          <w:i/>
          <w:color w:val="000000"/>
          <w:sz w:val="22"/>
          <w:szCs w:val="22"/>
        </w:rPr>
      </w:pPr>
    </w:p>
    <w:p w14:paraId="513173BA" w14:textId="77777777" w:rsidR="00165B36" w:rsidRPr="0030664B" w:rsidRDefault="00165B36" w:rsidP="00165B36">
      <w:pPr>
        <w:spacing w:line="360" w:lineRule="auto"/>
        <w:rPr>
          <w:bCs/>
          <w:i/>
          <w:color w:val="000000"/>
          <w:sz w:val="56"/>
          <w:szCs w:val="56"/>
        </w:rPr>
      </w:pPr>
      <w:bookmarkStart w:id="0" w:name="_Hlk89788918"/>
      <w:proofErr w:type="spellStart"/>
      <w:r w:rsidRPr="0030664B">
        <w:rPr>
          <w:bCs/>
          <w:i/>
          <w:color w:val="000000"/>
          <w:sz w:val="56"/>
          <w:szCs w:val="56"/>
        </w:rPr>
        <w:t>Infohabitar</w:t>
      </w:r>
      <w:proofErr w:type="spellEnd"/>
    </w:p>
    <w:p w14:paraId="713194CA" w14:textId="77777777" w:rsidR="00165B36" w:rsidRDefault="00165B36" w:rsidP="00165B36">
      <w:pPr>
        <w:spacing w:after="12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Editor: António Baptista Coelho</w:t>
      </w:r>
    </w:p>
    <w:p w14:paraId="1625EAA5" w14:textId="77777777" w:rsidR="00165B36" w:rsidRPr="00A62010" w:rsidRDefault="00165B36" w:rsidP="00165B36">
      <w:pPr>
        <w:spacing w:after="120" w:line="360" w:lineRule="auto"/>
        <w:rPr>
          <w:b w:val="0"/>
          <w:bCs/>
          <w:i/>
          <w:color w:val="000000"/>
          <w:sz w:val="24"/>
          <w:szCs w:val="24"/>
        </w:rPr>
      </w:pPr>
      <w:bookmarkStart w:id="1" w:name="_Hlk89699913"/>
      <w:proofErr w:type="spellStart"/>
      <w:r w:rsidRPr="00A62010">
        <w:rPr>
          <w:b w:val="0"/>
          <w:bCs/>
          <w:i/>
          <w:color w:val="000000"/>
          <w:sz w:val="24"/>
          <w:szCs w:val="24"/>
        </w:rPr>
        <w:lastRenderedPageBreak/>
        <w:t>Arquitecto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Escola Superior de Belas Artes de Lisboa –, doutor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Faculdade de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da Universidade do Porto –, Investigador Principal com Habilitação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e Urbanismo – Laboratório Nacional de Engenharia Civil.</w:t>
      </w:r>
    </w:p>
    <w:bookmarkEnd w:id="1"/>
    <w:p w14:paraId="47A766BA" w14:textId="77777777" w:rsidR="00165B36" w:rsidRPr="0030664B" w:rsidRDefault="00165B36" w:rsidP="00165B36">
      <w:pPr>
        <w:spacing w:after="240" w:line="360" w:lineRule="auto"/>
        <w:rPr>
          <w:bCs/>
          <w:i/>
          <w:color w:val="000000"/>
          <w:sz w:val="24"/>
          <w:szCs w:val="24"/>
        </w:rPr>
      </w:pPr>
      <w:r>
        <w:rPr>
          <w:bCs/>
          <w:i/>
          <w:sz w:val="24"/>
          <w:szCs w:val="24"/>
        </w:rPr>
        <w:fldChar w:fldCharType="begin"/>
      </w:r>
      <w:r>
        <w:rPr>
          <w:bCs/>
          <w:i/>
          <w:sz w:val="24"/>
          <w:szCs w:val="24"/>
        </w:rPr>
        <w:instrText xml:space="preserve"> HYPERLINK "mailto:</w:instrText>
      </w:r>
      <w:r w:rsidRPr="00732049">
        <w:rPr>
          <w:bCs/>
          <w:i/>
          <w:sz w:val="24"/>
          <w:szCs w:val="24"/>
        </w:rPr>
        <w:instrText>abc.infohabitar@gmail.com</w:instrText>
      </w:r>
      <w:r>
        <w:rPr>
          <w:bCs/>
          <w:i/>
          <w:sz w:val="24"/>
          <w:szCs w:val="24"/>
        </w:rPr>
        <w:instrText xml:space="preserve">" </w:instrText>
      </w:r>
      <w:r>
        <w:rPr>
          <w:bCs/>
          <w:i/>
          <w:sz w:val="24"/>
          <w:szCs w:val="24"/>
        </w:rPr>
        <w:fldChar w:fldCharType="separate"/>
      </w:r>
      <w:r w:rsidRPr="00720552">
        <w:rPr>
          <w:rStyle w:val="Hiperligao"/>
          <w:bCs/>
          <w:i/>
          <w:sz w:val="24"/>
          <w:szCs w:val="24"/>
        </w:rPr>
        <w:t>abc.infohabitar@gmail.com</w:t>
      </w:r>
      <w:r>
        <w:rPr>
          <w:bCs/>
          <w:i/>
          <w:sz w:val="24"/>
          <w:szCs w:val="24"/>
        </w:rPr>
        <w:fldChar w:fldCharType="end"/>
      </w:r>
      <w:r w:rsidRPr="0030664B">
        <w:rPr>
          <w:bCs/>
          <w:i/>
          <w:color w:val="000000"/>
          <w:sz w:val="24"/>
          <w:szCs w:val="24"/>
        </w:rPr>
        <w:t xml:space="preserve">, </w:t>
      </w:r>
      <w:hyperlink r:id="rId11" w:history="1">
        <w:r w:rsidRPr="0030664B">
          <w:rPr>
            <w:rStyle w:val="Hiperligao"/>
            <w:bCs/>
            <w:i/>
            <w:color w:val="000000"/>
            <w:sz w:val="24"/>
            <w:szCs w:val="24"/>
          </w:rPr>
          <w:t>abc@lnec.pt</w:t>
        </w:r>
      </w:hyperlink>
      <w:r w:rsidRPr="0030664B">
        <w:rPr>
          <w:bCs/>
          <w:i/>
          <w:color w:val="000000"/>
          <w:sz w:val="24"/>
          <w:szCs w:val="24"/>
        </w:rPr>
        <w:t xml:space="preserve"> </w:t>
      </w:r>
    </w:p>
    <w:p w14:paraId="7C1CBC8B" w14:textId="77777777" w:rsidR="00165B36" w:rsidRDefault="00165B36" w:rsidP="00165B36">
      <w:pPr>
        <w:spacing w:after="240" w:line="360" w:lineRule="auto"/>
        <w:rPr>
          <w:bCs/>
          <w:i/>
          <w:color w:val="000000"/>
          <w:sz w:val="24"/>
          <w:szCs w:val="24"/>
        </w:rPr>
      </w:pPr>
    </w:p>
    <w:p w14:paraId="757A0B91" w14:textId="77777777" w:rsidR="00165B36" w:rsidRPr="0030664B" w:rsidRDefault="00165B36" w:rsidP="00165B36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 xml:space="preserve">A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>
        <w:rPr>
          <w:bCs/>
          <w:i/>
          <w:color w:val="000000"/>
          <w:sz w:val="24"/>
          <w:szCs w:val="24"/>
        </w:rPr>
        <w:t xml:space="preserve"> é uma Revista do </w:t>
      </w:r>
      <w:proofErr w:type="spellStart"/>
      <w:r>
        <w:rPr>
          <w:bCs/>
          <w:i/>
          <w:color w:val="000000"/>
          <w:sz w:val="24"/>
          <w:szCs w:val="24"/>
        </w:rPr>
        <w:t>GHabitar</w:t>
      </w:r>
      <w:proofErr w:type="spellEnd"/>
      <w:r>
        <w:rPr>
          <w:bCs/>
          <w:i/>
          <w:color w:val="000000"/>
          <w:sz w:val="24"/>
          <w:szCs w:val="24"/>
        </w:rPr>
        <w:t xml:space="preserve"> </w:t>
      </w:r>
      <w:r w:rsidRPr="0030664B">
        <w:rPr>
          <w:bCs/>
          <w:i/>
          <w:color w:val="000000"/>
          <w:sz w:val="24"/>
          <w:szCs w:val="24"/>
        </w:rPr>
        <w:t xml:space="preserve">Associação Portuguesa para a Promoção da Qualidade Habitacional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 w:rsidRPr="0030664B">
        <w:rPr>
          <w:bCs/>
          <w:i/>
          <w:color w:val="000000"/>
          <w:sz w:val="24"/>
          <w:szCs w:val="24"/>
        </w:rPr>
        <w:t xml:space="preserve"> – Associação </w:t>
      </w:r>
      <w:r>
        <w:rPr>
          <w:bCs/>
          <w:i/>
          <w:color w:val="000000"/>
          <w:sz w:val="24"/>
          <w:szCs w:val="24"/>
        </w:rPr>
        <w:t xml:space="preserve">atualmente </w:t>
      </w:r>
      <w:r w:rsidRPr="0030664B">
        <w:rPr>
          <w:bCs/>
          <w:i/>
          <w:color w:val="000000"/>
          <w:sz w:val="24"/>
          <w:szCs w:val="24"/>
        </w:rPr>
        <w:t>com sede na Federação Nacional de Cooperativa</w:t>
      </w:r>
      <w:r>
        <w:rPr>
          <w:bCs/>
          <w:i/>
          <w:color w:val="000000"/>
          <w:sz w:val="24"/>
          <w:szCs w:val="24"/>
        </w:rPr>
        <w:t>s</w:t>
      </w:r>
      <w:r w:rsidRPr="0030664B">
        <w:rPr>
          <w:bCs/>
          <w:i/>
          <w:color w:val="000000"/>
          <w:sz w:val="24"/>
          <w:szCs w:val="24"/>
        </w:rPr>
        <w:t xml:space="preserve"> de Habitação Económica (FENACHE) e anteriormente com sede no </w:t>
      </w:r>
      <w:r>
        <w:rPr>
          <w:bCs/>
          <w:i/>
          <w:color w:val="000000"/>
          <w:sz w:val="24"/>
          <w:szCs w:val="24"/>
        </w:rPr>
        <w:t xml:space="preserve">Núcleo de </w:t>
      </w:r>
      <w:proofErr w:type="spellStart"/>
      <w:r>
        <w:rPr>
          <w:bCs/>
          <w:i/>
          <w:color w:val="000000"/>
          <w:sz w:val="24"/>
          <w:szCs w:val="24"/>
        </w:rPr>
        <w:t>Arquitectura</w:t>
      </w:r>
      <w:proofErr w:type="spellEnd"/>
      <w:r>
        <w:rPr>
          <w:bCs/>
          <w:i/>
          <w:color w:val="000000"/>
          <w:sz w:val="24"/>
          <w:szCs w:val="24"/>
        </w:rPr>
        <w:t xml:space="preserve"> e Urbanismo do </w:t>
      </w:r>
      <w:r w:rsidRPr="0030664B">
        <w:rPr>
          <w:bCs/>
          <w:i/>
          <w:color w:val="000000"/>
          <w:sz w:val="24"/>
          <w:szCs w:val="24"/>
        </w:rPr>
        <w:t>LNEC.</w:t>
      </w:r>
    </w:p>
    <w:p w14:paraId="661AA93E" w14:textId="77777777" w:rsidR="00165B36" w:rsidRPr="0030664B" w:rsidRDefault="00165B36" w:rsidP="00165B36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Apoio à Edição: José Baptista Coelho - Lisboa, Encarnação - Olivais Norte.</w:t>
      </w:r>
    </w:p>
    <w:bookmarkEnd w:id="0"/>
    <w:p w14:paraId="5169CF6F" w14:textId="77777777" w:rsidR="00113D8E" w:rsidRDefault="00113D8E"/>
    <w:sectPr w:rsidR="00113D8E" w:rsidSect="00F226CE">
      <w:footerReference w:type="even" r:id="rId12"/>
      <w:footerReference w:type="default" r:id="rId13"/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4237" w14:textId="77777777" w:rsidR="006458DB" w:rsidRDefault="006458DB" w:rsidP="00F226CE">
      <w:r>
        <w:separator/>
      </w:r>
    </w:p>
  </w:endnote>
  <w:endnote w:type="continuationSeparator" w:id="0">
    <w:p w14:paraId="37B23291" w14:textId="77777777" w:rsidR="006458DB" w:rsidRDefault="006458DB" w:rsidP="00F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E0C" w14:textId="77777777" w:rsidR="00AD4832" w:rsidRDefault="00D24C8A" w:rsidP="006453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4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2F72B9" w14:textId="77777777" w:rsidR="00AD4832" w:rsidRDefault="00AD4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2467" w14:textId="77777777" w:rsidR="00AD4832" w:rsidRPr="00F226CE" w:rsidRDefault="00D24C8A" w:rsidP="006453B4">
    <w:pPr>
      <w:pStyle w:val="Rodap"/>
      <w:framePr w:wrap="around" w:vAnchor="text" w:hAnchor="margin" w:xAlign="center" w:y="1"/>
      <w:rPr>
        <w:rStyle w:val="Nmerodepgina"/>
        <w:b w:val="0"/>
        <w:sz w:val="22"/>
        <w:szCs w:val="22"/>
      </w:rPr>
    </w:pPr>
    <w:r w:rsidRPr="00F226CE">
      <w:rPr>
        <w:rStyle w:val="Nmerodepgina"/>
        <w:b w:val="0"/>
        <w:sz w:val="22"/>
        <w:szCs w:val="22"/>
      </w:rPr>
      <w:fldChar w:fldCharType="begin"/>
    </w:r>
    <w:r w:rsidR="00AD4832" w:rsidRPr="00F226CE">
      <w:rPr>
        <w:rStyle w:val="Nmerodepgina"/>
        <w:b w:val="0"/>
        <w:sz w:val="22"/>
        <w:szCs w:val="22"/>
      </w:rPr>
      <w:instrText xml:space="preserve">PAGE  </w:instrText>
    </w:r>
    <w:r w:rsidRPr="00F226CE">
      <w:rPr>
        <w:rStyle w:val="Nmerodepgina"/>
        <w:b w:val="0"/>
        <w:sz w:val="22"/>
        <w:szCs w:val="22"/>
      </w:rPr>
      <w:fldChar w:fldCharType="separate"/>
    </w:r>
    <w:r w:rsidR="00D50A47">
      <w:rPr>
        <w:rStyle w:val="Nmerodepgina"/>
        <w:b w:val="0"/>
        <w:noProof/>
        <w:sz w:val="22"/>
        <w:szCs w:val="22"/>
      </w:rPr>
      <w:t>1</w:t>
    </w:r>
    <w:r w:rsidRPr="00F226CE">
      <w:rPr>
        <w:rStyle w:val="Nmerodepgina"/>
        <w:b w:val="0"/>
        <w:sz w:val="22"/>
        <w:szCs w:val="22"/>
      </w:rPr>
      <w:fldChar w:fldCharType="end"/>
    </w:r>
  </w:p>
  <w:p w14:paraId="3C9A723D" w14:textId="77777777" w:rsidR="00AD4832" w:rsidRDefault="00AD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4B7F" w14:textId="77777777" w:rsidR="006458DB" w:rsidRDefault="006458DB" w:rsidP="00F226CE">
      <w:r>
        <w:separator/>
      </w:r>
    </w:p>
  </w:footnote>
  <w:footnote w:type="continuationSeparator" w:id="0">
    <w:p w14:paraId="05DD5A6A" w14:textId="77777777" w:rsidR="006458DB" w:rsidRDefault="006458DB" w:rsidP="00F2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CCD"/>
    <w:multiLevelType w:val="hybridMultilevel"/>
    <w:tmpl w:val="E6FE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F516A"/>
    <w:multiLevelType w:val="hybridMultilevel"/>
    <w:tmpl w:val="22940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971068"/>
    <w:multiLevelType w:val="hybridMultilevel"/>
    <w:tmpl w:val="0BB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05556"/>
    <w:multiLevelType w:val="hybridMultilevel"/>
    <w:tmpl w:val="908A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30"/>
    <w:rsid w:val="000A0C30"/>
    <w:rsid w:val="000F0FC9"/>
    <w:rsid w:val="000F4AD0"/>
    <w:rsid w:val="00113D8E"/>
    <w:rsid w:val="001210CD"/>
    <w:rsid w:val="00137882"/>
    <w:rsid w:val="00165B36"/>
    <w:rsid w:val="00267C2E"/>
    <w:rsid w:val="002949D0"/>
    <w:rsid w:val="00361D92"/>
    <w:rsid w:val="00447C30"/>
    <w:rsid w:val="004B6627"/>
    <w:rsid w:val="00592F6B"/>
    <w:rsid w:val="006453B4"/>
    <w:rsid w:val="006458DB"/>
    <w:rsid w:val="00667D38"/>
    <w:rsid w:val="006F2568"/>
    <w:rsid w:val="00713651"/>
    <w:rsid w:val="007B6F7F"/>
    <w:rsid w:val="008918E0"/>
    <w:rsid w:val="00930CAC"/>
    <w:rsid w:val="009506F1"/>
    <w:rsid w:val="00975B4B"/>
    <w:rsid w:val="00A500CE"/>
    <w:rsid w:val="00AD4832"/>
    <w:rsid w:val="00AE3293"/>
    <w:rsid w:val="00BD1707"/>
    <w:rsid w:val="00CF06D0"/>
    <w:rsid w:val="00D24C8A"/>
    <w:rsid w:val="00D33F07"/>
    <w:rsid w:val="00D50A47"/>
    <w:rsid w:val="00F10DE6"/>
    <w:rsid w:val="00F226CE"/>
    <w:rsid w:val="00F77C6E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DF19"/>
  <w15:docId w15:val="{5254FFF7-97F1-494C-96AA-83C31A0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30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50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ter"/>
    <w:autoRedefine/>
    <w:qFormat/>
    <w:rsid w:val="00AE3293"/>
    <w:pPr>
      <w:spacing w:after="240"/>
      <w:outlineLvl w:val="3"/>
    </w:pPr>
    <w:rPr>
      <w:rFonts w:cs="Arial"/>
      <w:bCs/>
      <w:color w:val="000000"/>
      <w:kern w:val="0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4Char">
    <w:name w:val="Heading 4 Char"/>
    <w:basedOn w:val="Tipodeletrapredefinidodopargrafo"/>
    <w:uiPriority w:val="9"/>
    <w:semiHidden/>
    <w:rsid w:val="00447C30"/>
    <w:rPr>
      <w:rFonts w:asciiTheme="majorHAnsi" w:eastAsiaTheme="majorEastAsia" w:hAnsiTheme="majorHAnsi" w:cstheme="majorBidi"/>
      <w:bCs/>
      <w:i/>
      <w:iCs/>
      <w:color w:val="4F81BD" w:themeColor="accent1"/>
      <w:kern w:val="28"/>
      <w:sz w:val="32"/>
      <w:szCs w:val="32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AE3293"/>
    <w:rPr>
      <w:rFonts w:ascii="Arial" w:eastAsia="Times New Roman" w:hAnsi="Arial" w:cs="Arial"/>
      <w:b/>
      <w:bCs/>
      <w:color w:val="000000"/>
    </w:rPr>
  </w:style>
  <w:style w:type="character" w:customStyle="1" w:styleId="StyleGaramond">
    <w:name w:val="Style Garamond"/>
    <w:rsid w:val="00447C30"/>
    <w:rPr>
      <w:rFonts w:ascii="Times New Roman" w:hAnsi="Times New Roman"/>
      <w:sz w:val="22"/>
    </w:rPr>
  </w:style>
  <w:style w:type="character" w:styleId="Hiperligao">
    <w:name w:val="Hyperlink"/>
    <w:uiPriority w:val="99"/>
    <w:rsid w:val="00447C30"/>
    <w:rPr>
      <w:rFonts w:cs="Times New Roman"/>
      <w:color w:val="0000FF"/>
      <w:u w:val="single"/>
    </w:rPr>
  </w:style>
  <w:style w:type="character" w:customStyle="1" w:styleId="a-size-large">
    <w:name w:val="a-size-large"/>
    <w:basedOn w:val="Tipodeletrapredefinidodopargrafo"/>
    <w:rsid w:val="00447C30"/>
  </w:style>
  <w:style w:type="paragraph" w:styleId="PargrafodaLista">
    <w:name w:val="List Paragraph"/>
    <w:basedOn w:val="Normal"/>
    <w:uiPriority w:val="34"/>
    <w:qFormat/>
    <w:rsid w:val="00447C30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F226CE"/>
  </w:style>
  <w:style w:type="paragraph" w:styleId="Cabealho">
    <w:name w:val="header"/>
    <w:basedOn w:val="Normal"/>
    <w:link w:val="Cabealho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customStyle="1" w:styleId="stylegaramond0">
    <w:name w:val="stylegaramond"/>
    <w:basedOn w:val="Tipodeletrapredefinidodopargrafo"/>
    <w:rsid w:val="009506F1"/>
  </w:style>
  <w:style w:type="paragraph" w:styleId="Textodebalo">
    <w:name w:val="Balloon Text"/>
    <w:basedOn w:val="Normal"/>
    <w:link w:val="TextodebaloCarter"/>
    <w:uiPriority w:val="99"/>
    <w:semiHidden/>
    <w:unhideWhenUsed/>
    <w:rsid w:val="00FE12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1277"/>
    <w:rPr>
      <w:rFonts w:ascii="Tahoma" w:eastAsia="Times New Roman" w:hAnsi="Tahoma" w:cs="Tahoma"/>
      <w:b/>
      <w:kern w:val="28"/>
      <w:sz w:val="16"/>
      <w:szCs w:val="16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50A47"/>
    <w:rPr>
      <w:rFonts w:asciiTheme="majorHAnsi" w:eastAsiaTheme="majorEastAsia" w:hAnsiTheme="majorHAnsi" w:cstheme="majorBidi"/>
      <w:bCs/>
      <w:color w:val="4F81BD" w:themeColor="accent1"/>
      <w:kern w:val="28"/>
      <w:sz w:val="26"/>
      <w:szCs w:val="26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/post/edit/10780432/574052179862598543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@lne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habitar.blogspot.com/2021/06/opcoes-de-compartimentacao-na-habitaca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DDD28-9F8E-44E7-B2E5-3EA334BE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2737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Romana</dc:creator>
  <cp:lastModifiedBy>ABC</cp:lastModifiedBy>
  <cp:revision>5</cp:revision>
  <cp:lastPrinted>2020-11-17T11:36:00Z</cp:lastPrinted>
  <dcterms:created xsi:type="dcterms:W3CDTF">2021-12-06T10:27:00Z</dcterms:created>
  <dcterms:modified xsi:type="dcterms:W3CDTF">2021-12-07T19:44:00Z</dcterms:modified>
</cp:coreProperties>
</file>