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A206" w14:textId="705C9A36" w:rsidR="00447C30" w:rsidRPr="002812C1" w:rsidRDefault="00447C30" w:rsidP="00447C30">
      <w:pPr>
        <w:keepNext/>
        <w:spacing w:after="120"/>
        <w:outlineLvl w:val="1"/>
        <w:rPr>
          <w:bCs/>
          <w:color w:val="CC0000"/>
          <w:sz w:val="44"/>
          <w:szCs w:val="44"/>
        </w:rPr>
      </w:pPr>
      <w:proofErr w:type="spellStart"/>
      <w:r w:rsidRPr="002812C1">
        <w:rPr>
          <w:bCs/>
          <w:iCs/>
          <w:color w:val="CC0000"/>
          <w:sz w:val="44"/>
          <w:szCs w:val="44"/>
        </w:rPr>
        <w:t>Infohabitar</w:t>
      </w:r>
      <w:proofErr w:type="spellEnd"/>
      <w:r w:rsidRPr="002812C1">
        <w:rPr>
          <w:bCs/>
          <w:iCs/>
          <w:color w:val="CC0000"/>
          <w:sz w:val="44"/>
          <w:szCs w:val="44"/>
        </w:rPr>
        <w:t>, Ano XVI</w:t>
      </w:r>
      <w:r w:rsidR="00975B4B">
        <w:rPr>
          <w:bCs/>
          <w:iCs/>
          <w:color w:val="CC0000"/>
          <w:sz w:val="44"/>
          <w:szCs w:val="44"/>
        </w:rPr>
        <w:t>I</w:t>
      </w:r>
      <w:r w:rsidRPr="002812C1">
        <w:rPr>
          <w:bCs/>
          <w:iCs/>
          <w:color w:val="CC0000"/>
          <w:sz w:val="44"/>
          <w:szCs w:val="44"/>
        </w:rPr>
        <w:t xml:space="preserve">, n.º </w:t>
      </w:r>
      <w:r w:rsidR="00975B4B">
        <w:rPr>
          <w:bCs/>
          <w:iCs/>
          <w:color w:val="CC0000"/>
          <w:sz w:val="44"/>
          <w:szCs w:val="44"/>
        </w:rPr>
        <w:t>7</w:t>
      </w:r>
      <w:r w:rsidR="000C1B2B">
        <w:rPr>
          <w:bCs/>
          <w:iCs/>
          <w:color w:val="CC0000"/>
          <w:sz w:val="44"/>
          <w:szCs w:val="44"/>
        </w:rPr>
        <w:t>62</w:t>
      </w:r>
      <w:r w:rsidRPr="002812C1">
        <w:rPr>
          <w:bCs/>
          <w:iCs/>
          <w:color w:val="CC0000"/>
          <w:sz w:val="44"/>
          <w:szCs w:val="44"/>
        </w:rPr>
        <w:t xml:space="preserve"> </w:t>
      </w:r>
    </w:p>
    <w:p w14:paraId="1999AD5A" w14:textId="77777777" w:rsidR="00447C30" w:rsidRDefault="00447C30" w:rsidP="00447C30">
      <w:pPr>
        <w:keepNext/>
        <w:spacing w:after="120"/>
        <w:outlineLvl w:val="1"/>
        <w:rPr>
          <w:rStyle w:val="StyleGaramond"/>
          <w:sz w:val="24"/>
        </w:rPr>
      </w:pPr>
    </w:p>
    <w:p w14:paraId="40386D42" w14:textId="1CB0E34B" w:rsidR="00447C30" w:rsidRDefault="000C1B2B" w:rsidP="00366350">
      <w:pPr>
        <w:pStyle w:val="Ttulo4"/>
        <w:rPr>
          <w:lang w:bidi="he-IL"/>
        </w:rPr>
      </w:pPr>
      <w:r w:rsidRPr="000C1B2B">
        <w:rPr>
          <w:lang w:bidi="he-IL"/>
        </w:rPr>
        <w:t xml:space="preserve">Diversas opções para os principais ambientes da habitação: propostas organizativas – </w:t>
      </w:r>
      <w:proofErr w:type="spellStart"/>
      <w:r w:rsidRPr="000C1B2B">
        <w:rPr>
          <w:lang w:bidi="he-IL"/>
        </w:rPr>
        <w:t>Infohabitar</w:t>
      </w:r>
      <w:proofErr w:type="spellEnd"/>
      <w:r w:rsidRPr="000C1B2B">
        <w:rPr>
          <w:lang w:bidi="he-IL"/>
        </w:rPr>
        <w:t xml:space="preserve"> # 762 </w:t>
      </w:r>
    </w:p>
    <w:p w14:paraId="02550F2C" w14:textId="77777777" w:rsidR="007629BE" w:rsidRPr="007629BE" w:rsidRDefault="007629BE" w:rsidP="007629BE">
      <w:pPr>
        <w:rPr>
          <w:rStyle w:val="StyleGaramond"/>
          <w:rFonts w:ascii="Arial" w:hAnsi="Arial"/>
          <w:b w:val="0"/>
          <w:bCs/>
          <w:sz w:val="24"/>
          <w:szCs w:val="24"/>
        </w:rPr>
      </w:pPr>
      <w:r w:rsidRPr="007629BE">
        <w:rPr>
          <w:rStyle w:val="StyleGaramond"/>
          <w:rFonts w:ascii="Arial" w:hAnsi="Arial"/>
          <w:b w:val="0"/>
          <w:bCs/>
          <w:sz w:val="24"/>
          <w:szCs w:val="24"/>
        </w:rPr>
        <w:t>António Baptista Coelho</w:t>
      </w:r>
    </w:p>
    <w:p w14:paraId="1433ACC8" w14:textId="77777777" w:rsidR="007629BE" w:rsidRPr="007629BE" w:rsidRDefault="007629BE" w:rsidP="007629BE">
      <w:pPr>
        <w:rPr>
          <w:rStyle w:val="StyleGaramond"/>
          <w:rFonts w:ascii="Arial" w:hAnsi="Arial"/>
          <w:b w:val="0"/>
          <w:bCs/>
          <w:sz w:val="24"/>
          <w:szCs w:val="24"/>
        </w:rPr>
      </w:pPr>
      <w:r w:rsidRPr="007629BE">
        <w:rPr>
          <w:rStyle w:val="StyleGaramond"/>
          <w:rFonts w:ascii="Arial" w:hAnsi="Arial"/>
          <w:b w:val="0"/>
          <w:bCs/>
          <w:sz w:val="24"/>
          <w:szCs w:val="24"/>
        </w:rPr>
        <w:t>(texto e imagem)</w:t>
      </w:r>
    </w:p>
    <w:p w14:paraId="490C797B" w14:textId="77777777" w:rsidR="000C1B2B" w:rsidRPr="000C1B2B" w:rsidRDefault="000C1B2B" w:rsidP="000C1B2B">
      <w:pPr>
        <w:rPr>
          <w:lang w:eastAsia="en-US" w:bidi="he-IL"/>
        </w:rPr>
      </w:pPr>
    </w:p>
    <w:p w14:paraId="4FC45CBC" w14:textId="67A9BDAB" w:rsidR="00447C30" w:rsidRPr="003C39DC" w:rsidRDefault="003C39DC" w:rsidP="00366350">
      <w:pPr>
        <w:pStyle w:val="Ttulo4"/>
        <w:rPr>
          <w:b w:val="0"/>
          <w:bCs w:val="0"/>
          <w:i/>
          <w:iCs/>
        </w:rPr>
      </w:pPr>
      <w:r w:rsidRPr="00FB69B0">
        <w:rPr>
          <w:b w:val="0"/>
          <w:bCs w:val="0"/>
          <w:i/>
          <w:iCs/>
        </w:rPr>
        <w:t xml:space="preserve">Artigo integrado na série editorial da </w:t>
      </w:r>
      <w:proofErr w:type="spellStart"/>
      <w:r w:rsidRPr="00FB69B0">
        <w:rPr>
          <w:b w:val="0"/>
          <w:bCs w:val="0"/>
          <w:i/>
          <w:iCs/>
        </w:rPr>
        <w:t>Infohabitar</w:t>
      </w:r>
      <w:proofErr w:type="spellEnd"/>
      <w:r w:rsidRPr="00FB69B0">
        <w:rPr>
          <w:b w:val="0"/>
          <w:bCs w:val="0"/>
          <w:i/>
          <w:iCs/>
        </w:rPr>
        <w:t xml:space="preserve"> “Habitar e viver melhor”</w:t>
      </w:r>
    </w:p>
    <w:p w14:paraId="3B267762" w14:textId="77777777" w:rsidR="00447C30" w:rsidRDefault="00447C30" w:rsidP="00366350">
      <w:pPr>
        <w:pStyle w:val="Ttulo4"/>
      </w:pPr>
    </w:p>
    <w:p w14:paraId="4DBEB155" w14:textId="77777777" w:rsidR="00447C30" w:rsidRPr="00AE3293" w:rsidRDefault="00447C30" w:rsidP="00366350">
      <w:pPr>
        <w:pStyle w:val="Ttulo4"/>
        <w:rPr>
          <w:i/>
        </w:rPr>
      </w:pPr>
      <w:r w:rsidRPr="000C1B2B">
        <w:t>Resumo</w:t>
      </w:r>
    </w:p>
    <w:p w14:paraId="27A5F5B4" w14:textId="77777777" w:rsidR="00463217" w:rsidRPr="00463217" w:rsidRDefault="00463217" w:rsidP="00463217">
      <w:pPr>
        <w:keepNext/>
        <w:spacing w:after="120"/>
        <w:outlineLvl w:val="1"/>
        <w:rPr>
          <w:b w:val="0"/>
          <w:i/>
          <w:kern w:val="0"/>
          <w:sz w:val="22"/>
          <w:szCs w:val="22"/>
          <w:lang w:eastAsia="en-US" w:bidi="he-IL"/>
        </w:rPr>
      </w:pPr>
      <w:r w:rsidRPr="00463217">
        <w:rPr>
          <w:b w:val="0"/>
          <w:i/>
          <w:kern w:val="0"/>
          <w:sz w:val="22"/>
          <w:szCs w:val="22"/>
          <w:lang w:eastAsia="en-US" w:bidi="he-IL"/>
        </w:rPr>
        <w:t xml:space="preserve">No artigo desenvolve-se uma reflexão sobre o interesse da exploração e do subsequente aprofundamento de uma razoável variedade de propostas organizativas para as zonas e subzonas  da habitação, numa perspetiva que encara criticamente uma, ainda preponderante, preocupação essencialmente funcional, e que visa a melhor adequação a necessidades e desejos habitacionais específicos num quadro de expressiva qualidade </w:t>
      </w:r>
      <w:proofErr w:type="spellStart"/>
      <w:r w:rsidRPr="00463217">
        <w:rPr>
          <w:b w:val="0"/>
          <w:i/>
          <w:kern w:val="0"/>
          <w:sz w:val="22"/>
          <w:szCs w:val="22"/>
          <w:lang w:eastAsia="en-US" w:bidi="he-IL"/>
        </w:rPr>
        <w:t>arquitectónica</w:t>
      </w:r>
      <w:proofErr w:type="spellEnd"/>
      <w:r w:rsidRPr="00463217">
        <w:rPr>
          <w:b w:val="0"/>
          <w:i/>
          <w:kern w:val="0"/>
          <w:sz w:val="22"/>
          <w:szCs w:val="22"/>
          <w:lang w:eastAsia="en-US" w:bidi="he-IL"/>
        </w:rPr>
        <w:t xml:space="preserve"> e nunca esquecendo a aplicabilidade destas ideias a soluções de habitação de interesse social, naturalmente condicionadas em termos de áreas e de acabamentos.</w:t>
      </w:r>
    </w:p>
    <w:p w14:paraId="24CFBC7B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507E761A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1E859EDC" w14:textId="77777777" w:rsidR="00447C30" w:rsidRPr="00D34721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2C52CBDE" w14:textId="7F63DFE2" w:rsidR="00366350" w:rsidRDefault="00366350" w:rsidP="00447C30">
      <w:pPr>
        <w:spacing w:after="120"/>
        <w:rPr>
          <w:rStyle w:val="a-size-large"/>
          <w:rFonts w:cs="Arial"/>
          <w:b w:val="0"/>
          <w:sz w:val="24"/>
          <w:szCs w:val="24"/>
          <w:highlight w:val="cyan"/>
        </w:rPr>
      </w:pPr>
    </w:p>
    <w:p w14:paraId="710F8636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Introdução</w:t>
      </w:r>
    </w:p>
    <w:p w14:paraId="7B9CCBCF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Em seguida e na sequência do artigo editado na passada semana desenvolvem-se, um pouco mais, as matérias associadas a um leque de propostas organizativas para as zonas domésticas, sob o ponto de vista de diversos autores especialistas nestas matérias, apontando-se, desde já, a importância deste tipo de reflexões, designadamente, quando aplicadas a soluções habitacionais espacialmente muito condicionadas, como é o caso das soluções de habitação de interesse social.</w:t>
      </w:r>
    </w:p>
    <w:p w14:paraId="4943D0B1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1. Espaços tipologicamente distintos em termos de socialização, privacidade e funcionalidade geral.</w:t>
      </w:r>
    </w:p>
    <w:p w14:paraId="49A9DFF4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Harald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Deilmann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distingue cinco tipos de espaços domésticos e, sequencialmente define cinco zonas domésticas distintas (1):</w:t>
      </w:r>
    </w:p>
    <w:p w14:paraId="150182B0" w14:textId="21BBD6D7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lastRenderedPageBreak/>
        <w:t>espaços de socialização e comunicação;</w:t>
      </w:r>
    </w:p>
    <w:p w14:paraId="75FF54C1" w14:textId="3E2DC515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espaços individuais;</w:t>
      </w:r>
    </w:p>
    <w:p w14:paraId="5F636081" w14:textId="7CEE7B56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espaços sanitários;</w:t>
      </w:r>
    </w:p>
    <w:p w14:paraId="027A2064" w14:textId="63FE81BC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espaços de preparação de refeições;</w:t>
      </w:r>
    </w:p>
    <w:p w14:paraId="2239428B" w14:textId="35C3EDED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espaços de circulação.</w:t>
      </w:r>
    </w:p>
    <w:p w14:paraId="09BA9A68" w14:textId="25C12C5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Fica, de certa forma, a fragmentação funcional totalmente consumada; embora se sublinhe a emergência de uma relativa “separação” entre espaços de “socialização e comunicação” e espaços “individuais”, que podem não corresponder, objetiva e respetivamente a salas-comuns e quartos de dormir.</w:t>
      </w:r>
    </w:p>
    <w:p w14:paraId="56C22BF8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2. Habitações “divididas” pela barreira entre usos essencialmente noturnos ou diurnos.</w:t>
      </w:r>
    </w:p>
    <w:p w14:paraId="721DBF07" w14:textId="5E53ED22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Vamos agora à “última fronteira” funcional a da barreira entre noite e dia, a bem conhecida definição de “zona de quartos” e zona de entrada e </w:t>
      </w:r>
      <w:r w:rsidR="00366350" w:rsidRPr="000C1B2B">
        <w:rPr>
          <w:b w:val="0"/>
          <w:kern w:val="0"/>
          <w:sz w:val="22"/>
          <w:szCs w:val="22"/>
          <w:lang w:eastAsia="en-US" w:bidi="he-IL"/>
        </w:rPr>
        <w:t>receção</w:t>
      </w:r>
      <w:r w:rsidRPr="000C1B2B">
        <w:rPr>
          <w:b w:val="0"/>
          <w:kern w:val="0"/>
          <w:sz w:val="22"/>
          <w:szCs w:val="22"/>
          <w:lang w:eastAsia="en-US" w:bidi="he-IL"/>
        </w:rPr>
        <w:t>.</w:t>
      </w:r>
    </w:p>
    <w:p w14:paraId="7A366BFF" w14:textId="73F8A1BF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E nesta matéria e na </w:t>
      </w:r>
      <w:r w:rsidR="00366350" w:rsidRPr="000C1B2B">
        <w:rPr>
          <w:b w:val="0"/>
          <w:kern w:val="0"/>
          <w:sz w:val="22"/>
          <w:szCs w:val="22"/>
          <w:lang w:eastAsia="en-US" w:bidi="he-IL"/>
        </w:rPr>
        <w:t>perspetiva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de Claude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Lamure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, essa distinção “clássica” entre espaços "de noite" e "de dia" terá perdido boa parte da sua razão de ser, porque a falta de espaço obriga crianças e por vezes adultos a passarem parte do dia nos seus quartos "de dormir"; e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Lamure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propõe que talvez a distinção possa ter mais a ver com as diversas características de privacidade e de convencionalidade no uso e no arranjo dos espaços, que marcam zonas domésticas mais formais ou mais informais. (2)</w:t>
      </w:r>
    </w:p>
    <w:p w14:paraId="14DA0A9A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Poderíamos comentar que essa referida fata de espaço poderá, também, levar crianças, jovens e adultos a usarem mais intensamente a sala-comum e a cozinha (se esta for razoavelmente dimensionada).</w:t>
      </w:r>
    </w:p>
    <w:p w14:paraId="0BD57E41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 assim ficamos com a velha questão de onde investir mais, espacialmente, nas zonas mais comuns ou nas zonas mais privadas? Isto, evidentemente, quando há consistentes limites de áreas domésticas.</w:t>
      </w:r>
    </w:p>
    <w:p w14:paraId="185941F5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3. Espaços mais formais ou mais informais da habitação – ou domínios das crianças, domínios dos adultos e domínios comuns.</w:t>
      </w:r>
    </w:p>
    <w:p w14:paraId="33440C47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Ficamos, então, agora com os conceitos de formalidade e informalidade, matérias que pouco serão aplicáveis nas áreas limitadas da habitação de interesse social, onde, provavelmente, não haveria espaço para a formalidade, mas, como ela subsiste, então </w:t>
      </w:r>
      <w:r w:rsidRPr="000C1B2B">
        <w:rPr>
          <w:b w:val="0"/>
          <w:kern w:val="0"/>
          <w:sz w:val="22"/>
          <w:szCs w:val="22"/>
          <w:lang w:eastAsia="en-US" w:bidi="he-IL"/>
        </w:rPr>
        <w:lastRenderedPageBreak/>
        <w:t>as pessoas acabam, por vezes, por se acumularem em partes da habitação para poderem continuar a ser formais noutros espaços da mesma habitação.</w:t>
      </w:r>
    </w:p>
    <w:p w14:paraId="5497C314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Alexander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defende que numa habitação para uma família com filhos devem existir dois domínios próprios, especificamente, dos pais e dos filhos, relacionados entre si através de um terceiro domínio, o domínio comum. (3)</w:t>
      </w:r>
    </w:p>
    <w:p w14:paraId="5D23B473" w14:textId="59AA0C59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O domínio dos pais implica isolamento visual e acústico, e, como as crianças correm toda a casa, uma relação </w:t>
      </w:r>
      <w:r w:rsidR="00366350" w:rsidRPr="000C1B2B">
        <w:rPr>
          <w:b w:val="0"/>
          <w:kern w:val="0"/>
          <w:sz w:val="22"/>
          <w:szCs w:val="22"/>
          <w:lang w:eastAsia="en-US" w:bidi="he-IL"/>
        </w:rPr>
        <w:t>direta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com uma casa de banho. (4)</w:t>
      </w:r>
    </w:p>
    <w:p w14:paraId="3DCE85FB" w14:textId="213A207C" w:rsidR="00267C2E" w:rsidRPr="002F7A3B" w:rsidRDefault="00267C2E" w:rsidP="002F7A3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2F7A3B">
        <w:rPr>
          <w:b w:val="0"/>
          <w:kern w:val="0"/>
          <w:sz w:val="22"/>
          <w:szCs w:val="22"/>
          <w:lang w:eastAsia="en-US" w:bidi="he-IL"/>
        </w:rPr>
        <w:t>O domínio das crianças deve considerá-las nos seus momentos de maior energia, evitando-se, que os espaços dos adultos estejam no meio da confusão, protegendo-se os quartos dos adultos e os locais de maior sossego ou com mais fortes exigências de formalidade. (5)</w:t>
      </w:r>
    </w:p>
    <w:p w14:paraId="36F6BEBB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Teremos aqui os domínios das crianças, dos adultos e comum aos dois grupos; uma exigência que parece obrigar a condições especiais de espaciosidade e/ou a uma apurada estratégia de adaptabilidade/conversão espacial.</w:t>
      </w:r>
    </w:p>
    <w:p w14:paraId="32FFEFE4" w14:textId="2400E6E8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E nesta matéria talvez que seja bem importante a consideração dos aspetos marcados por condições espaciais, ambientais e de pormenor bastante ligadas às necessidades diversificadas – ex., apoio ao crescimento amplo e à múltipla formação das crianças e ao desenvolvimento de tarefas especializadas de jovens e adultos –, gostos e formas de ação e interação mais associadas aos diversos níveis etários; e atente-se que esta perspetiva pouco ou nada tem sido considerada na </w:t>
      </w:r>
      <w:r w:rsidR="00366350" w:rsidRPr="000C1B2B">
        <w:rPr>
          <w:b w:val="0"/>
          <w:kern w:val="0"/>
          <w:sz w:val="22"/>
          <w:szCs w:val="22"/>
          <w:lang w:eastAsia="en-US" w:bidi="he-IL"/>
        </w:rPr>
        <w:t>conce</w:t>
      </w:r>
      <w:r w:rsidR="00366350">
        <w:rPr>
          <w:b w:val="0"/>
          <w:kern w:val="0"/>
          <w:sz w:val="22"/>
          <w:szCs w:val="22"/>
          <w:lang w:eastAsia="en-US" w:bidi="he-IL"/>
        </w:rPr>
        <w:t>ç</w:t>
      </w:r>
      <w:r w:rsidR="00366350" w:rsidRPr="000C1B2B">
        <w:rPr>
          <w:b w:val="0"/>
          <w:kern w:val="0"/>
          <w:sz w:val="22"/>
          <w:szCs w:val="22"/>
          <w:lang w:eastAsia="en-US" w:bidi="he-IL"/>
        </w:rPr>
        <w:t>ã</w:t>
      </w:r>
      <w:r w:rsidR="00366350">
        <w:rPr>
          <w:b w:val="0"/>
          <w:kern w:val="0"/>
          <w:sz w:val="22"/>
          <w:szCs w:val="22"/>
          <w:lang w:eastAsia="en-US" w:bidi="he-IL"/>
        </w:rPr>
        <w:t>o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habitacional, sendo que:</w:t>
      </w:r>
    </w:p>
    <w:p w14:paraId="1FA2BD25" w14:textId="77777777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parte dela pode ser deixada à capacidade de absorção funcional e formal pormenorizada dos variados subespaços domésticos, que depende de condições físicas e ambientais específicas (ex., paredes para encostar móveis e fixar quadros, condições de iluminação, etc.);</w:t>
      </w:r>
    </w:p>
    <w:p w14:paraId="413EFA93" w14:textId="77777777" w:rsidR="00267C2E" w:rsidRPr="00FE6D3F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rFonts w:cs="Arial"/>
          <w:b w:val="0"/>
          <w:color w:val="000000"/>
          <w:sz w:val="28"/>
          <w:szCs w:val="28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enquanto outra parte depende de uma adequada capacidade organizativa, de acessibilidade e de adaptabilidade de toda a habitação.</w:t>
      </w:r>
      <w:r w:rsidRPr="00FE6D3F">
        <w:rPr>
          <w:rFonts w:cs="Arial"/>
          <w:b w:val="0"/>
          <w:color w:val="000000"/>
          <w:sz w:val="28"/>
          <w:szCs w:val="28"/>
        </w:rPr>
        <w:br/>
      </w:r>
    </w:p>
    <w:p w14:paraId="281FB3D8" w14:textId="77777777" w:rsidR="00267C2E" w:rsidRPr="00FE6D3F" w:rsidRDefault="00267C2E" w:rsidP="00267C2E">
      <w:pPr>
        <w:jc w:val="center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noProof/>
          <w:color w:val="0000FF"/>
          <w:sz w:val="24"/>
          <w:szCs w:val="24"/>
          <w:lang w:bidi="he-IL"/>
        </w:rPr>
        <w:lastRenderedPageBreak/>
        <w:drawing>
          <wp:inline distT="0" distB="0" distL="0" distR="0" wp14:anchorId="0054E9EA" wp14:editId="549E7313">
            <wp:extent cx="3860800" cy="3789680"/>
            <wp:effectExtent l="19050" t="0" r="6350" b="0"/>
            <wp:docPr id="1" name="Imagem 1" descr="493%2B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3%2B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25DAE" w14:textId="51A719C3" w:rsidR="00267C2E" w:rsidRPr="00366350" w:rsidRDefault="00267C2E" w:rsidP="002F7A3B">
      <w:pPr>
        <w:spacing w:after="240" w:line="360" w:lineRule="auto"/>
        <w:rPr>
          <w:b w:val="0"/>
          <w:i/>
          <w:kern w:val="0"/>
          <w:sz w:val="22"/>
          <w:szCs w:val="22"/>
          <w:lang w:eastAsia="en-US" w:bidi="he-IL"/>
        </w:rPr>
      </w:pPr>
      <w:r w:rsidRPr="002F7A3B">
        <w:rPr>
          <w:b w:val="0"/>
          <w:i/>
          <w:kern w:val="0"/>
          <w:sz w:val="22"/>
          <w:szCs w:val="22"/>
          <w:lang w:eastAsia="en-US" w:bidi="he-IL"/>
        </w:rPr>
        <w:t>Fig. 1: ... capacidade de absorção funcional e formal pormenorizada dos variados subespaços domésticos, que depende de condições físicas e ambientais específicas (ex., paredes para encostar móveis e fixar quadros, condições de iluminação, etc.);</w:t>
      </w:r>
    </w:p>
    <w:p w14:paraId="2150AD6F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4. Habitação que se adapta à evolução etária e da composição da família e dos respetivos usos e desejos domésticos</w:t>
      </w:r>
    </w:p>
    <w:p w14:paraId="2F1A5145" w14:textId="0327CB16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Harald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Deilmann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(6), que estudou um muito amplo leque de casos práticos, desenvolveu, um pouco mais, esta </w:t>
      </w:r>
      <w:r w:rsidR="0022602E" w:rsidRPr="000C1B2B">
        <w:rPr>
          <w:b w:val="0"/>
          <w:kern w:val="0"/>
          <w:sz w:val="22"/>
          <w:szCs w:val="22"/>
          <w:lang w:eastAsia="en-US" w:bidi="he-IL"/>
        </w:rPr>
        <w:t>perspetiva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de uma organização doméstica associada a uma evolução da idade da família e chegou às seguintes conclusões:</w:t>
      </w:r>
    </w:p>
    <w:p w14:paraId="1FAC84A8" w14:textId="77777777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quando existam crianças pequenas, a habitação deve caracterizar-se por um forte relacionamento mútuo entre os seus diversos espaços;</w:t>
      </w:r>
    </w:p>
    <w:p w14:paraId="3869EA89" w14:textId="77777777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quando existam crianças e adolescentes, a habitação deve caracterizar-se por um equilíbrio entre o referido relacionamento mútuo entre os diversos espaços e outros espaços onde seja possível alguma privacidade e autonomia vivencial;</w:t>
      </w:r>
    </w:p>
    <w:p w14:paraId="52576AE0" w14:textId="13AC83F3" w:rsidR="00267C2E" w:rsidRPr="000C1B2B" w:rsidRDefault="00267C2E" w:rsidP="000C1B2B">
      <w:pPr>
        <w:pStyle w:val="PargrafodaLista"/>
        <w:numPr>
          <w:ilvl w:val="0"/>
          <w:numId w:val="5"/>
        </w:num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quando existam adolescentes e jovens adultos, a habitação deve caracterizar-se por um equilíbrio entre os referidos </w:t>
      </w:r>
      <w:r w:rsidR="0022602E" w:rsidRPr="000C1B2B">
        <w:rPr>
          <w:b w:val="0"/>
          <w:kern w:val="0"/>
          <w:sz w:val="22"/>
          <w:szCs w:val="22"/>
          <w:lang w:eastAsia="en-US" w:bidi="he-IL"/>
        </w:rPr>
        <w:t>aspetos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de relacionamento mútuo entre os diversos espaços e de existência de outros espaços onde seja possível alguma privacidade e autonomia vivencial e, ainda, outros espaços domésticos com afirmada privacidade e autonomia; quando existam jovens adultos, a habitação </w:t>
      </w:r>
      <w:r w:rsidRPr="000C1B2B">
        <w:rPr>
          <w:b w:val="0"/>
          <w:kern w:val="0"/>
          <w:sz w:val="22"/>
          <w:szCs w:val="22"/>
          <w:lang w:eastAsia="en-US" w:bidi="he-IL"/>
        </w:rPr>
        <w:lastRenderedPageBreak/>
        <w:t>deve caracterizar-se pela existência de espaços com forte privacidade e autonomia.</w:t>
      </w:r>
    </w:p>
    <w:p w14:paraId="7EABFCCC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As notas relativas às conclusões de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Deilmann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acabaram, mas é possível juntar que, quando existam adultos talvez seja de favorecer para além dos espaços com forte privacidade e autonomia, outros espaços com um amplo e adaptável leque de aptidões funcionais e de forte caracterização formal; e quando existirem velhos adultos então, talvez seja a altura de “voltar” a uma certa adaptabilidade e indiferenciação.</w:t>
      </w:r>
    </w:p>
    <w:p w14:paraId="270E0DC1" w14:textId="50F2335F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Deste registo dos estudos de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Deilmann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fica uma </w:t>
      </w:r>
      <w:r w:rsidR="0022602E" w:rsidRPr="000C1B2B">
        <w:rPr>
          <w:b w:val="0"/>
          <w:kern w:val="0"/>
          <w:sz w:val="22"/>
          <w:szCs w:val="22"/>
          <w:lang w:eastAsia="en-US" w:bidi="he-IL"/>
        </w:rPr>
        <w:t>perspetiva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de uma sequência evolutiva da habitação acompanhando o envelhecimento da família, sequência esta que, naturalmente, depende de estarmos em presença de uma habitação expressivamente adaptável, designadamente, em termos dimensionais (referimo-nos a dimensões particularizadas mais do que a áreas) e de versatilidade organizativa e de acessibilidades.</w:t>
      </w:r>
    </w:p>
    <w:p w14:paraId="61327177" w14:textId="77777777" w:rsidR="00267C2E" w:rsidRPr="000C1B2B" w:rsidRDefault="00267C2E" w:rsidP="0022602E">
      <w:pPr>
        <w:pStyle w:val="Ttulo4"/>
        <w:rPr>
          <w:lang w:bidi="he-IL"/>
        </w:rPr>
      </w:pPr>
      <w:r w:rsidRPr="000C1B2B">
        <w:rPr>
          <w:lang w:bidi="he-IL"/>
        </w:rPr>
        <w:t>5. Influência da ocupação habitacional no dimensionamento doméstico</w:t>
      </w:r>
    </w:p>
    <w:p w14:paraId="6737BF97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Segundo M.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Imbert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, em habitações fortemente ocupadas e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dimensionalmente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limitadas não faz sentido incentivar as crianças a permanecerem nos seus quartos, e o resultado é que a sala-comum será por elas apropriada. (7)</w:t>
      </w:r>
    </w:p>
    <w:p w14:paraId="60BDEA22" w14:textId="1F58B2B3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As crianças precisam de mais espaço doméstico do que os adultos para as suas diversas </w:t>
      </w:r>
      <w:r w:rsidR="0022602E" w:rsidRPr="000C1B2B">
        <w:rPr>
          <w:b w:val="0"/>
          <w:kern w:val="0"/>
          <w:sz w:val="22"/>
          <w:szCs w:val="22"/>
          <w:lang w:eastAsia="en-US" w:bidi="he-IL"/>
        </w:rPr>
        <w:t>atividades</w:t>
      </w:r>
      <w:r w:rsidRPr="000C1B2B">
        <w:rPr>
          <w:b w:val="0"/>
          <w:kern w:val="0"/>
          <w:sz w:val="22"/>
          <w:szCs w:val="22"/>
          <w:lang w:eastAsia="en-US" w:bidi="he-IL"/>
        </w:rPr>
        <w:t>, devido à sua grande necessidade de movimento e à sua capacidade limitada de concentração. Por estas razões as famílias com crianças precisam de mais espaço, em geral e, nomeadamente, em vários espaços da casa (sala, quartos ou quarto e casa de banho, para banho assistido).</w:t>
      </w:r>
    </w:p>
    <w:p w14:paraId="70CBF1DD" w14:textId="3D258E42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Desta reflexão de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Imbert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fica a noção que as maiores tipologias domésticas devem ter áreas funcionais substancialmente acrescidas e que as áreas sociais da habitação (cozinha e sala-comum) deverão oferecer alternativas para diversas </w:t>
      </w:r>
      <w:r w:rsidR="0022602E" w:rsidRPr="000C1B2B">
        <w:rPr>
          <w:b w:val="0"/>
          <w:kern w:val="0"/>
          <w:sz w:val="22"/>
          <w:szCs w:val="22"/>
          <w:lang w:eastAsia="en-US" w:bidi="he-IL"/>
        </w:rPr>
        <w:t>atividades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de lazer e convívio.</w:t>
      </w:r>
    </w:p>
    <w:p w14:paraId="5B0AB17B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Poderíamos juntar a estas reflexões sobre a maior necessidade de espaço doméstico pelas crianças uma idêntica reflexão sobre as necessidades espaciais e ambientais dos mais idosos, que preferem espaços com algum desafogo e grande clareza de configuração e de organização.</w:t>
      </w:r>
    </w:p>
    <w:p w14:paraId="4447A1D0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lastRenderedPageBreak/>
        <w:t>Portanto, sobrando os adultos, talvez que estas condições de relativo desafogo se devam aplicar, sempre que possível, de forma geral.</w:t>
      </w:r>
    </w:p>
    <w:p w14:paraId="0B177225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6. Importância da socialização na estruturação e na espaciosidade domésticas</w:t>
      </w:r>
    </w:p>
    <w:p w14:paraId="1D82B728" w14:textId="4B50F03C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Finalmente, regista-se a noção do Arq.º </w:t>
      </w:r>
      <w:proofErr w:type="spellStart"/>
      <w:r w:rsidRPr="000C1B2B">
        <w:rPr>
          <w:b w:val="0"/>
          <w:kern w:val="0"/>
          <w:sz w:val="22"/>
          <w:szCs w:val="22"/>
          <w:lang w:eastAsia="en-US" w:bidi="he-IL"/>
        </w:rPr>
        <w:t>Prieur</w:t>
      </w:r>
      <w:proofErr w:type="spellEnd"/>
      <w:r w:rsidRPr="000C1B2B">
        <w:rPr>
          <w:b w:val="0"/>
          <w:kern w:val="0"/>
          <w:sz w:val="22"/>
          <w:szCs w:val="22"/>
          <w:lang w:eastAsia="en-US" w:bidi="he-IL"/>
        </w:rPr>
        <w:t xml:space="preserve"> (8) no que se refere a considerar que a principal </w:t>
      </w:r>
      <w:r w:rsidR="007629BE" w:rsidRPr="000C1B2B">
        <w:rPr>
          <w:b w:val="0"/>
          <w:kern w:val="0"/>
          <w:sz w:val="22"/>
          <w:szCs w:val="22"/>
          <w:lang w:eastAsia="en-US" w:bidi="he-IL"/>
        </w:rPr>
        <w:t>atividade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da família, toda junta, é a conversação por ocasião das refeições, o que faria destacar a importância da localização e das características de conforto e agradabilidade da zona de refeições. Sem se negar a justeza do raciocínio importa comentar que, hoje em dia, talvez a par dest</w:t>
      </w:r>
      <w:r w:rsidR="007629BE">
        <w:rPr>
          <w:b w:val="0"/>
          <w:kern w:val="0"/>
          <w:sz w:val="22"/>
          <w:szCs w:val="22"/>
          <w:lang w:eastAsia="en-US" w:bidi="he-IL"/>
        </w:rPr>
        <w:t>e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espaço de refeições, que há que defender como </w:t>
      </w:r>
      <w:r w:rsidR="007629BE" w:rsidRPr="000C1B2B">
        <w:rPr>
          <w:b w:val="0"/>
          <w:kern w:val="0"/>
          <w:sz w:val="22"/>
          <w:szCs w:val="22"/>
          <w:lang w:eastAsia="en-US" w:bidi="he-IL"/>
        </w:rPr>
        <w:t>polo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convivial doméstico, não é possível deixar de referir a zona onde se vê televisão, igualmente, como </w:t>
      </w:r>
      <w:r w:rsidR="007629BE" w:rsidRPr="000C1B2B">
        <w:rPr>
          <w:b w:val="0"/>
          <w:kern w:val="0"/>
          <w:sz w:val="22"/>
          <w:szCs w:val="22"/>
          <w:lang w:eastAsia="en-US" w:bidi="he-IL"/>
        </w:rPr>
        <w:t>polo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de convívio da habitação.</w:t>
      </w:r>
    </w:p>
    <w:p w14:paraId="3AB93879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Destas notas retira-se que é fundamental que a organização e o espaço disponível na habitação proporcione a evidenciada instalação de uma mesa de refeições e de um espaço de estar, ambos com excelentes condições para estímulo do convívio e do lazer em casa; se tais espaços não forem possíveis as pessoas irão “fugir”, rapidamente, para os seus quartos ou para fora de casa.</w:t>
      </w:r>
    </w:p>
    <w:p w14:paraId="6EB8439C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7. Algumas notas sobre o teletrabalho</w:t>
      </w:r>
    </w:p>
    <w:p w14:paraId="2E06A6B8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Não se indo desenvolver, aqui, esta matéria, que exige tratamento específico e pormenorizado, importa fazer desde já algumas notas.</w:t>
      </w:r>
    </w:p>
    <w:p w14:paraId="50369BD0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A primeira é que qualquer tipo de trabalho realizado em ambiente doméstico deverá poder ser considerado nos respetivos espaços mais privados, ainda que, eventualmente, com um caráter relativamente informal.</w:t>
      </w:r>
    </w:p>
    <w:p w14:paraId="5A045287" w14:textId="257575F9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Outra consideração é que a reflexão sobre a introdução do teletrabalho “profissional” e razoavelmente generalizado é relativamente </w:t>
      </w:r>
      <w:r w:rsidR="007629BE" w:rsidRPr="000C1B2B">
        <w:rPr>
          <w:b w:val="0"/>
          <w:kern w:val="0"/>
          <w:sz w:val="22"/>
          <w:szCs w:val="22"/>
          <w:lang w:eastAsia="en-US" w:bidi="he-IL"/>
        </w:rPr>
        <w:t>revolucionária</w:t>
      </w:r>
      <w:r w:rsidRPr="000C1B2B">
        <w:rPr>
          <w:b w:val="0"/>
          <w:kern w:val="0"/>
          <w:sz w:val="22"/>
          <w:szCs w:val="22"/>
          <w:lang w:eastAsia="en-US" w:bidi="he-IL"/>
        </w:rPr>
        <w:t>, pois anteriormente e embora dele se tenha falado quando da “invenção” dos computadores pessoais e da internet, tal possibilidade acabou por ser um pouco esquecida. E o que sempre levámos em conta foram os seguintes tipos de trabalhos “não domésticos”: trabalho de estudantes; passatempos; “restos” eventuais e pontuais de trabalho profissional; e todos eles acabavam por ser possíveis com o tal caráter informal em subespaços relativamente improvisados ou temporalmente convertidos para o efeito.</w:t>
      </w:r>
    </w:p>
    <w:p w14:paraId="72DEE852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lastRenderedPageBreak/>
        <w:t>Naturalmente que para lá destas opções temos sempre que considerar o tradicional trabalho do “profissional liberal” no seu gabinete/compartimento específico, desejavelmente com alguma autonomia de localização/acessibilidade a partir da entrada no fogo; o que já é condição complicada para as vulgares organizações domésticas.</w:t>
      </w:r>
    </w:p>
    <w:p w14:paraId="6C83857A" w14:textId="75F32E61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Mas pondo de lado a possibilidade de reservar um compartimento específico para o trabalho profissional, que será sempre caso de exceção, o que o atual e global desenvolvimento do teletrabalho profissional implica em termos domésticos é, no mínimo, um acréscimo dimensional e espacial de determinados compartimentos e a necessidade de tais espaços e ambientes poderem conviver</w:t>
      </w:r>
      <w:r w:rsidR="0022602E">
        <w:rPr>
          <w:b w:val="0"/>
          <w:kern w:val="0"/>
          <w:sz w:val="22"/>
          <w:szCs w:val="22"/>
          <w:lang w:eastAsia="en-US" w:bidi="he-IL"/>
        </w:rPr>
        <w:t xml:space="preserve"> em uma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base de continuidade com os restantes espaços e ambientes da habitação; e o que dizer quando são os dois elementos de um casal a estarem em teletrabalho profissional!</w:t>
      </w:r>
    </w:p>
    <w:p w14:paraId="0CA4848C" w14:textId="77777777" w:rsidR="00267C2E" w:rsidRPr="000C1B2B" w:rsidRDefault="00267C2E" w:rsidP="00366350">
      <w:pPr>
        <w:pStyle w:val="Ttulo4"/>
        <w:rPr>
          <w:lang w:bidi="he-IL"/>
        </w:rPr>
      </w:pPr>
      <w:r w:rsidRPr="000C1B2B">
        <w:rPr>
          <w:lang w:bidi="he-IL"/>
        </w:rPr>
        <w:t>Breves notas de remate</w:t>
      </w:r>
    </w:p>
    <w:p w14:paraId="1E7D9FA4" w14:textId="56F6F902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 xml:space="preserve">Abordaram-se vários “temas” de organização doméstica, mas há que ter a noção de que nesta(s) matéria(s) cada bom </w:t>
      </w:r>
      <w:r w:rsidR="007629BE" w:rsidRPr="000C1B2B">
        <w:rPr>
          <w:b w:val="0"/>
          <w:kern w:val="0"/>
          <w:sz w:val="22"/>
          <w:szCs w:val="22"/>
          <w:lang w:eastAsia="en-US" w:bidi="he-IL"/>
        </w:rPr>
        <w:t>projetista</w:t>
      </w:r>
      <w:r w:rsidRPr="000C1B2B">
        <w:rPr>
          <w:b w:val="0"/>
          <w:kern w:val="0"/>
          <w:sz w:val="22"/>
          <w:szCs w:val="22"/>
          <w:lang w:eastAsia="en-US" w:bidi="he-IL"/>
        </w:rPr>
        <w:t xml:space="preserve"> terá os seus “segredos”, no sentido de ir preferindo certas soluções e experimentando outras, e em todas estas matérias tudo se ganha com o estudo e a visita cuidadosa ao leque mais alargado possível de soluções.</w:t>
      </w:r>
    </w:p>
    <w:p w14:paraId="54621392" w14:textId="77777777" w:rsidR="00267C2E" w:rsidRPr="000C1B2B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0C1B2B">
        <w:rPr>
          <w:b w:val="0"/>
          <w:kern w:val="0"/>
          <w:sz w:val="22"/>
          <w:szCs w:val="22"/>
          <w:lang w:eastAsia="en-US" w:bidi="he-IL"/>
        </w:rPr>
        <w:t>Em outros artigos desta série editorial, ao avançar pelos diversos espaços da habitação, iremos procurar aprofundar um pouco dessa rica e importante/fundamentada diversidade que deve marcar uma renovada e adaptável estruturação doméstica.</w:t>
      </w:r>
    </w:p>
    <w:p w14:paraId="51959C55" w14:textId="77777777" w:rsidR="00267C2E" w:rsidRPr="005B1027" w:rsidRDefault="00267C2E" w:rsidP="00366350">
      <w:pPr>
        <w:pStyle w:val="Ttulo4"/>
        <w:rPr>
          <w:lang w:val="en-GB" w:bidi="he-IL"/>
        </w:rPr>
      </w:pPr>
      <w:r w:rsidRPr="005B1027">
        <w:rPr>
          <w:lang w:val="en-GB" w:bidi="he-IL"/>
        </w:rPr>
        <w:t>Notas:</w:t>
      </w:r>
    </w:p>
    <w:p w14:paraId="739B4FFA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(1) Harald Deilmann; J. Kirschenmann; H. Pfeiffer, "The Dwelling / Dwelling-types, Building-types", p. 39.</w:t>
      </w:r>
    </w:p>
    <w:p w14:paraId="285827A0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(2) Claude Lamure, "Adaptation du Logement à la Vie Familiale", p. 106.</w:t>
      </w:r>
    </w:p>
    <w:p w14:paraId="58F4FE10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(3) Christopher Alexander; Sara Ishikawa; Murray Silverstein; et al, "A Pattern Language/Un Lenguaje de Patrones", p. 350.</w:t>
      </w:r>
    </w:p>
    <w:p w14:paraId="49C39CF4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lastRenderedPageBreak/>
        <w:t>(4) Christopher Alexander; Sara Ishikawa; Murray Silverstein; et al, "A Pattern Language/Un Lenguaje de Patrones", pp. 577 e 578.</w:t>
      </w:r>
    </w:p>
    <w:p w14:paraId="7069211E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(5) Christopher Alexander; Sara Ishikawa; Murray Silverstein; et al, "A Pattern Language/Un Lenguaje de Patrones", pp. 581 e 582.</w:t>
      </w:r>
    </w:p>
    <w:p w14:paraId="0C286BFF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(6) Harald Deilmann; J. Kirschenmann; H. Pfeiffer, "The Dwelling / Dwelling-types, Building-types", pp. 25 e 30.</w:t>
      </w:r>
    </w:p>
    <w:p w14:paraId="05C3BEED" w14:textId="77777777" w:rsidR="00267C2E" w:rsidRPr="005B1027" w:rsidRDefault="00267C2E" w:rsidP="000C1B2B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(7) M. Imbert, "Mission d'Études de la Ville Nouvelle du Vaudreil", p. 13.</w:t>
      </w:r>
    </w:p>
    <w:p w14:paraId="418040CC" w14:textId="77777777" w:rsidR="00267C2E" w:rsidRPr="005B1027" w:rsidRDefault="00267C2E" w:rsidP="000C1B2B">
      <w:pPr>
        <w:spacing w:after="240" w:line="360" w:lineRule="auto"/>
        <w:rPr>
          <w:kern w:val="0"/>
          <w:sz w:val="22"/>
          <w:szCs w:val="22"/>
          <w:lang w:val="en-GB" w:eastAsia="en-US" w:bidi="he-IL"/>
        </w:rPr>
      </w:pPr>
      <w:r w:rsidRPr="005B1027">
        <w:rPr>
          <w:b w:val="0"/>
          <w:kern w:val="0"/>
          <w:sz w:val="22"/>
          <w:szCs w:val="22"/>
          <w:lang w:val="en-GB" w:eastAsia="en-US" w:bidi="he-IL"/>
        </w:rPr>
        <w:t>(8) P. H. Chombart de Lauwe, et al, "Famille et Habitation I, Sciences Humaines et Conceptions de l'Habitation", pp. 175, 176 e 177.</w:t>
      </w:r>
    </w:p>
    <w:p w14:paraId="70429C83" w14:textId="77777777" w:rsidR="00267C2E" w:rsidRPr="000C1B2B" w:rsidRDefault="00267C2E" w:rsidP="00267C2E">
      <w:pPr>
        <w:rPr>
          <w:lang w:val="en-US"/>
        </w:rPr>
      </w:pPr>
    </w:p>
    <w:p w14:paraId="467B3597" w14:textId="77777777" w:rsidR="00267C2E" w:rsidRPr="00FE6D3F" w:rsidRDefault="00267C2E" w:rsidP="00267C2E">
      <w:pPr>
        <w:spacing w:after="240" w:line="360" w:lineRule="exact"/>
        <w:rPr>
          <w:rFonts w:cs="Arial"/>
          <w:color w:val="000000"/>
          <w:sz w:val="28"/>
          <w:szCs w:val="28"/>
        </w:rPr>
      </w:pPr>
      <w:r w:rsidRPr="00FE6D3F">
        <w:rPr>
          <w:rFonts w:cs="Arial"/>
          <w:color w:val="000000"/>
          <w:sz w:val="28"/>
          <w:szCs w:val="28"/>
        </w:rPr>
        <w:t xml:space="preserve">O presente artigo corresponde a uma edição ampliada, modificada e revista do artigo que foi editado na </w:t>
      </w:r>
      <w:proofErr w:type="spellStart"/>
      <w:r w:rsidRPr="00FE6D3F">
        <w:rPr>
          <w:rFonts w:cs="Arial"/>
          <w:color w:val="000000"/>
          <w:sz w:val="28"/>
          <w:szCs w:val="28"/>
        </w:rPr>
        <w:t>Infohabitar</w:t>
      </w:r>
      <w:proofErr w:type="spellEnd"/>
      <w:r w:rsidRPr="00FE6D3F">
        <w:rPr>
          <w:rFonts w:cs="Arial"/>
          <w:color w:val="000000"/>
          <w:sz w:val="28"/>
          <w:szCs w:val="28"/>
        </w:rPr>
        <w:t>, em 27/07/2014, com o n.º 493.</w:t>
      </w:r>
    </w:p>
    <w:p w14:paraId="7FC3C030" w14:textId="77777777" w:rsidR="00447C30" w:rsidRDefault="00447C30" w:rsidP="00447C30">
      <w:pPr>
        <w:rPr>
          <w:rStyle w:val="StyleGaramond"/>
          <w:rFonts w:cs="Arial"/>
          <w:b w:val="0"/>
          <w:sz w:val="24"/>
          <w:szCs w:val="24"/>
          <w:highlight w:val="cyan"/>
        </w:rPr>
      </w:pPr>
    </w:p>
    <w:p w14:paraId="13B0E594" w14:textId="77777777" w:rsidR="00447C30" w:rsidRPr="0030664B" w:rsidRDefault="00447C30" w:rsidP="00447C30">
      <w:pPr>
        <w:keepNext/>
        <w:spacing w:before="600" w:after="240" w:line="360" w:lineRule="auto"/>
        <w:outlineLvl w:val="1"/>
        <w:rPr>
          <w:rFonts w:cs="Arial"/>
          <w:i/>
          <w:kern w:val="0"/>
          <w:sz w:val="36"/>
          <w:szCs w:val="36"/>
          <w:u w:val="single"/>
          <w:lang w:eastAsia="en-US" w:bidi="he-IL"/>
        </w:rPr>
      </w:pPr>
      <w:r w:rsidRPr="0030664B">
        <w:rPr>
          <w:rFonts w:cs="Arial"/>
          <w:i/>
          <w:kern w:val="0"/>
          <w:sz w:val="36"/>
          <w:szCs w:val="36"/>
          <w:u w:val="single"/>
          <w:lang w:eastAsia="en-US" w:bidi="he-IL"/>
        </w:rPr>
        <w:t>Referências editoriais:</w:t>
      </w:r>
    </w:p>
    <w:p w14:paraId="0464273A" w14:textId="0AD564F1" w:rsidR="00447C30" w:rsidRPr="0030664B" w:rsidRDefault="00447C30" w:rsidP="00447C30">
      <w:pPr>
        <w:keepNext/>
        <w:spacing w:after="120" w:line="360" w:lineRule="auto"/>
        <w:outlineLvl w:val="1"/>
        <w:rPr>
          <w:i/>
          <w:sz w:val="22"/>
          <w:szCs w:val="22"/>
        </w:rPr>
      </w:pPr>
      <w:r w:rsidRPr="0030664B">
        <w:rPr>
          <w:i/>
          <w:sz w:val="22"/>
          <w:szCs w:val="22"/>
        </w:rPr>
        <w:t xml:space="preserve">1.ª Edição: </w:t>
      </w:r>
      <w:proofErr w:type="spellStart"/>
      <w:r w:rsidRPr="0030664B">
        <w:rPr>
          <w:i/>
          <w:sz w:val="22"/>
          <w:szCs w:val="22"/>
        </w:rPr>
        <w:t>Infohabitar</w:t>
      </w:r>
      <w:proofErr w:type="spellEnd"/>
      <w:r>
        <w:rPr>
          <w:i/>
          <w:sz w:val="22"/>
          <w:szCs w:val="22"/>
        </w:rPr>
        <w:t>, Ano XV</w:t>
      </w:r>
      <w:r w:rsidR="00975B4B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I,</w:t>
      </w:r>
      <w:r w:rsidRPr="003066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n.º </w:t>
      </w:r>
      <w:r w:rsidR="00975B4B">
        <w:rPr>
          <w:i/>
          <w:sz w:val="22"/>
          <w:szCs w:val="22"/>
        </w:rPr>
        <w:t>7</w:t>
      </w:r>
      <w:r w:rsidR="0022602E">
        <w:rPr>
          <w:i/>
          <w:sz w:val="22"/>
          <w:szCs w:val="22"/>
        </w:rPr>
        <w:t>62</w:t>
      </w:r>
      <w:r w:rsidR="00975B4B">
        <w:rPr>
          <w:i/>
          <w:sz w:val="22"/>
          <w:szCs w:val="22"/>
        </w:rPr>
        <w:t xml:space="preserve">, terça-feira, janeiro </w:t>
      </w:r>
      <w:r w:rsidR="0022602E">
        <w:rPr>
          <w:i/>
          <w:sz w:val="22"/>
          <w:szCs w:val="22"/>
        </w:rPr>
        <w:t>26</w:t>
      </w:r>
      <w:r w:rsidR="00975B4B">
        <w:rPr>
          <w:i/>
          <w:sz w:val="22"/>
          <w:szCs w:val="22"/>
        </w:rPr>
        <w:t>, 2021</w:t>
      </w:r>
    </w:p>
    <w:p w14:paraId="114181FD" w14:textId="411ED012" w:rsidR="00447C30" w:rsidRDefault="00447C30" w:rsidP="00975B4B">
      <w:pPr>
        <w:spacing w:after="240" w:line="360" w:lineRule="auto"/>
        <w:rPr>
          <w:bCs/>
          <w:i/>
          <w:color w:val="000000"/>
          <w:sz w:val="22"/>
          <w:szCs w:val="22"/>
        </w:rPr>
      </w:pPr>
      <w:r w:rsidRPr="0030664B">
        <w:rPr>
          <w:bCs/>
          <w:i/>
          <w:color w:val="000000"/>
          <w:sz w:val="22"/>
          <w:szCs w:val="22"/>
        </w:rPr>
        <w:t xml:space="preserve">Link para a 1.ª edição: </w:t>
      </w:r>
    </w:p>
    <w:p w14:paraId="562117E2" w14:textId="44DADE10" w:rsidR="0022602E" w:rsidRDefault="00CB1EAB" w:rsidP="00975B4B">
      <w:pPr>
        <w:spacing w:after="240" w:line="360" w:lineRule="auto"/>
        <w:rPr>
          <w:bCs/>
          <w:i/>
          <w:color w:val="000000"/>
          <w:sz w:val="22"/>
          <w:szCs w:val="22"/>
        </w:rPr>
      </w:pPr>
      <w:hyperlink r:id="rId10" w:history="1">
        <w:r w:rsidR="0022602E" w:rsidRPr="00720552">
          <w:rPr>
            <w:rStyle w:val="Hiperligao"/>
            <w:bCs/>
            <w:i/>
            <w:sz w:val="22"/>
            <w:szCs w:val="22"/>
          </w:rPr>
          <w:t>http://infohabitar.blogspot.com/2021/01/diversas-opcoes-para-os-principais.html</w:t>
        </w:r>
      </w:hyperlink>
    </w:p>
    <w:p w14:paraId="192476F1" w14:textId="4B28A7C8" w:rsidR="00447C30" w:rsidRDefault="00447C30" w:rsidP="00975B4B">
      <w:pPr>
        <w:spacing w:after="240" w:line="360" w:lineRule="auto"/>
        <w:rPr>
          <w:i/>
          <w:color w:val="000000"/>
          <w:sz w:val="22"/>
          <w:szCs w:val="22"/>
        </w:rPr>
      </w:pPr>
      <w:r w:rsidRPr="0030664B">
        <w:rPr>
          <w:i/>
          <w:color w:val="000000"/>
          <w:sz w:val="22"/>
          <w:szCs w:val="22"/>
          <w:u w:val="single"/>
        </w:rPr>
        <w:t>Etiquetas/palavras chave</w:t>
      </w:r>
      <w:r w:rsidRPr="0030664B">
        <w:rPr>
          <w:i/>
          <w:color w:val="000000"/>
          <w:sz w:val="22"/>
          <w:szCs w:val="22"/>
        </w:rPr>
        <w:t xml:space="preserve">: </w:t>
      </w:r>
      <w:r w:rsidR="0022602E">
        <w:rPr>
          <w:i/>
          <w:color w:val="000000"/>
          <w:sz w:val="22"/>
          <w:szCs w:val="22"/>
        </w:rPr>
        <w:t xml:space="preserve">habitação, </w:t>
      </w:r>
      <w:proofErr w:type="spellStart"/>
      <w:r w:rsidR="0022602E">
        <w:rPr>
          <w:i/>
          <w:color w:val="000000"/>
          <w:sz w:val="22"/>
          <w:szCs w:val="22"/>
        </w:rPr>
        <w:t>arquitectura</w:t>
      </w:r>
      <w:proofErr w:type="spellEnd"/>
      <w:r w:rsidR="0022602E">
        <w:rPr>
          <w:i/>
          <w:color w:val="000000"/>
          <w:sz w:val="22"/>
          <w:szCs w:val="22"/>
        </w:rPr>
        <w:t xml:space="preserve">, </w:t>
      </w:r>
      <w:hyperlink r:id="rId11" w:history="1">
        <w:r w:rsidR="0022602E" w:rsidRPr="0022602E">
          <w:rPr>
            <w:i/>
            <w:color w:val="000000"/>
            <w:sz w:val="22"/>
            <w:szCs w:val="22"/>
          </w:rPr>
          <w:t xml:space="preserve">ambientes domésticos </w:t>
        </w:r>
      </w:hyperlink>
      <w:r w:rsidR="0022602E" w:rsidRPr="0022602E">
        <w:rPr>
          <w:i/>
          <w:color w:val="000000"/>
          <w:sz w:val="22"/>
          <w:szCs w:val="22"/>
        </w:rPr>
        <w:t xml:space="preserve">, </w:t>
      </w:r>
      <w:hyperlink r:id="rId12" w:history="1">
        <w:proofErr w:type="spellStart"/>
        <w:r w:rsidR="0022602E" w:rsidRPr="0022602E">
          <w:rPr>
            <w:i/>
            <w:color w:val="000000"/>
            <w:sz w:val="22"/>
            <w:szCs w:val="22"/>
          </w:rPr>
          <w:t>infohabitar</w:t>
        </w:r>
        <w:proofErr w:type="spellEnd"/>
        <w:r w:rsidR="0022602E" w:rsidRPr="0022602E">
          <w:rPr>
            <w:i/>
            <w:color w:val="000000"/>
            <w:sz w:val="22"/>
            <w:szCs w:val="22"/>
          </w:rPr>
          <w:t xml:space="preserve"> </w:t>
        </w:r>
      </w:hyperlink>
      <w:r w:rsidR="0022602E" w:rsidRPr="0022602E">
        <w:rPr>
          <w:i/>
          <w:color w:val="000000"/>
          <w:sz w:val="22"/>
          <w:szCs w:val="22"/>
        </w:rPr>
        <w:t xml:space="preserve">, </w:t>
      </w:r>
      <w:hyperlink r:id="rId13" w:history="1">
        <w:r w:rsidR="0022602E" w:rsidRPr="0022602E">
          <w:rPr>
            <w:i/>
            <w:color w:val="000000"/>
            <w:sz w:val="22"/>
            <w:szCs w:val="22"/>
          </w:rPr>
          <w:t xml:space="preserve">novas organizações domésticas </w:t>
        </w:r>
      </w:hyperlink>
      <w:r w:rsidR="0022602E" w:rsidRPr="0022602E">
        <w:rPr>
          <w:i/>
          <w:color w:val="000000"/>
          <w:sz w:val="22"/>
          <w:szCs w:val="22"/>
        </w:rPr>
        <w:t xml:space="preserve">, </w:t>
      </w:r>
      <w:hyperlink r:id="rId14" w:history="1">
        <w:r w:rsidR="0022602E" w:rsidRPr="0022602E">
          <w:rPr>
            <w:i/>
            <w:color w:val="000000"/>
            <w:sz w:val="22"/>
            <w:szCs w:val="22"/>
          </w:rPr>
          <w:t xml:space="preserve">novos espaços domésticos </w:t>
        </w:r>
      </w:hyperlink>
      <w:r w:rsidR="0022602E" w:rsidRPr="0022602E">
        <w:rPr>
          <w:i/>
          <w:color w:val="000000"/>
          <w:sz w:val="22"/>
          <w:szCs w:val="22"/>
        </w:rPr>
        <w:t xml:space="preserve">, </w:t>
      </w:r>
      <w:hyperlink r:id="rId15" w:history="1">
        <w:r w:rsidR="0022602E" w:rsidRPr="0022602E">
          <w:rPr>
            <w:i/>
            <w:color w:val="000000"/>
            <w:sz w:val="22"/>
            <w:szCs w:val="22"/>
          </w:rPr>
          <w:t xml:space="preserve">novos espaços habitacionais </w:t>
        </w:r>
      </w:hyperlink>
      <w:r w:rsidR="0022602E" w:rsidRPr="0022602E">
        <w:rPr>
          <w:i/>
          <w:color w:val="000000"/>
          <w:sz w:val="22"/>
          <w:szCs w:val="22"/>
        </w:rPr>
        <w:t xml:space="preserve">, </w:t>
      </w:r>
      <w:hyperlink r:id="rId16" w:history="1">
        <w:r w:rsidR="0022602E" w:rsidRPr="0022602E">
          <w:rPr>
            <w:i/>
            <w:color w:val="000000"/>
            <w:sz w:val="22"/>
            <w:szCs w:val="22"/>
          </w:rPr>
          <w:t>organização da habitação</w:t>
        </w:r>
      </w:hyperlink>
    </w:p>
    <w:p w14:paraId="3F638E35" w14:textId="77777777" w:rsidR="00447C30" w:rsidRDefault="00447C30" w:rsidP="00447C30">
      <w:pPr>
        <w:spacing w:after="240" w:line="360" w:lineRule="auto"/>
        <w:rPr>
          <w:i/>
          <w:color w:val="000000"/>
          <w:sz w:val="22"/>
          <w:szCs w:val="22"/>
        </w:rPr>
      </w:pPr>
    </w:p>
    <w:p w14:paraId="69535BB2" w14:textId="77777777" w:rsidR="00713651" w:rsidRPr="0030664B" w:rsidRDefault="00713651" w:rsidP="00447C30">
      <w:pPr>
        <w:spacing w:after="240" w:line="360" w:lineRule="auto"/>
        <w:rPr>
          <w:i/>
          <w:color w:val="000000"/>
          <w:sz w:val="22"/>
          <w:szCs w:val="22"/>
        </w:rPr>
      </w:pPr>
    </w:p>
    <w:p w14:paraId="3DF1B0B4" w14:textId="77777777" w:rsidR="00447C30" w:rsidRPr="0030664B" w:rsidRDefault="00447C30" w:rsidP="00447C30">
      <w:pPr>
        <w:spacing w:line="360" w:lineRule="auto"/>
        <w:rPr>
          <w:bCs/>
          <w:i/>
          <w:color w:val="000000"/>
          <w:sz w:val="56"/>
          <w:szCs w:val="56"/>
        </w:rPr>
      </w:pPr>
      <w:proofErr w:type="spellStart"/>
      <w:r w:rsidRPr="0030664B">
        <w:rPr>
          <w:bCs/>
          <w:i/>
          <w:color w:val="000000"/>
          <w:sz w:val="56"/>
          <w:szCs w:val="56"/>
        </w:rPr>
        <w:t>Infohabitar</w:t>
      </w:r>
      <w:proofErr w:type="spellEnd"/>
    </w:p>
    <w:p w14:paraId="67E4A735" w14:textId="77777777" w:rsidR="0022602E" w:rsidRDefault="00447C30" w:rsidP="00975B4B">
      <w:pPr>
        <w:spacing w:after="12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lastRenderedPageBreak/>
        <w:t>Editor: António Baptista Coelho</w:t>
      </w:r>
    </w:p>
    <w:p w14:paraId="49EF987C" w14:textId="77777777" w:rsidR="0022602E" w:rsidRPr="00A62010" w:rsidRDefault="0022602E" w:rsidP="0022602E">
      <w:pPr>
        <w:spacing w:after="120" w:line="360" w:lineRule="auto"/>
        <w:rPr>
          <w:b w:val="0"/>
          <w:bCs/>
          <w:i/>
          <w:color w:val="000000"/>
          <w:sz w:val="24"/>
          <w:szCs w:val="24"/>
        </w:rPr>
      </w:pP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Arquitecto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Escola Superior de Belas Artes de Lisboa –, doutor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Faculdade de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da Universidade do Porto –, Investigador Principal com Habilitação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e Urbanismo – Laboratório Nacional de Engenharia Civil.</w:t>
      </w:r>
    </w:p>
    <w:p w14:paraId="41FA5278" w14:textId="77777777" w:rsidR="00447C30" w:rsidRPr="0030664B" w:rsidRDefault="00CB1EAB" w:rsidP="00447C30">
      <w:pPr>
        <w:spacing w:after="240" w:line="360" w:lineRule="auto"/>
        <w:rPr>
          <w:bCs/>
          <w:i/>
          <w:color w:val="000000"/>
          <w:sz w:val="24"/>
          <w:szCs w:val="24"/>
        </w:rPr>
      </w:pPr>
      <w:hyperlink r:id="rId17" w:history="1">
        <w:r w:rsidR="00447C30" w:rsidRPr="0030664B">
          <w:rPr>
            <w:rStyle w:val="Hiperligao"/>
            <w:bCs/>
            <w:i/>
            <w:sz w:val="24"/>
            <w:szCs w:val="24"/>
          </w:rPr>
          <w:t>abc.infohabitar@gmail.com</w:t>
        </w:r>
      </w:hyperlink>
      <w:r w:rsidR="00447C30" w:rsidRPr="0030664B">
        <w:rPr>
          <w:bCs/>
          <w:i/>
          <w:color w:val="000000"/>
          <w:sz w:val="24"/>
          <w:szCs w:val="24"/>
        </w:rPr>
        <w:t xml:space="preserve">, </w:t>
      </w:r>
      <w:hyperlink r:id="rId18" w:history="1">
        <w:r w:rsidR="00447C30" w:rsidRPr="0030664B">
          <w:rPr>
            <w:rStyle w:val="Hiperligao"/>
            <w:bCs/>
            <w:i/>
            <w:color w:val="000000"/>
            <w:sz w:val="24"/>
            <w:szCs w:val="24"/>
          </w:rPr>
          <w:t>abc@lnec.pt</w:t>
        </w:r>
      </w:hyperlink>
      <w:r w:rsidR="00447C30" w:rsidRPr="0030664B">
        <w:rPr>
          <w:bCs/>
          <w:i/>
          <w:color w:val="000000"/>
          <w:sz w:val="24"/>
          <w:szCs w:val="24"/>
        </w:rPr>
        <w:t xml:space="preserve"> </w:t>
      </w:r>
    </w:p>
    <w:p w14:paraId="46B986BC" w14:textId="77777777" w:rsidR="0022602E" w:rsidRDefault="0022602E" w:rsidP="00447C30">
      <w:pPr>
        <w:spacing w:after="240" w:line="360" w:lineRule="auto"/>
        <w:rPr>
          <w:bCs/>
          <w:i/>
          <w:color w:val="000000"/>
          <w:sz w:val="24"/>
          <w:szCs w:val="24"/>
        </w:rPr>
      </w:pPr>
    </w:p>
    <w:p w14:paraId="3B3AA8B9" w14:textId="3BB91724" w:rsidR="00447C30" w:rsidRPr="0030664B" w:rsidRDefault="00447C30" w:rsidP="00447C30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 xml:space="preserve">A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 w:rsidR="00AD4832">
        <w:rPr>
          <w:bCs/>
          <w:i/>
          <w:color w:val="000000"/>
          <w:sz w:val="24"/>
          <w:szCs w:val="24"/>
        </w:rPr>
        <w:t xml:space="preserve"> é uma Revista do </w:t>
      </w:r>
      <w:proofErr w:type="spellStart"/>
      <w:r w:rsidR="00AD4832">
        <w:rPr>
          <w:bCs/>
          <w:i/>
          <w:color w:val="000000"/>
          <w:sz w:val="24"/>
          <w:szCs w:val="24"/>
        </w:rPr>
        <w:t>GHabitar</w:t>
      </w:r>
      <w:proofErr w:type="spellEnd"/>
      <w:r w:rsidR="00AD4832">
        <w:rPr>
          <w:bCs/>
          <w:i/>
          <w:color w:val="000000"/>
          <w:sz w:val="24"/>
          <w:szCs w:val="24"/>
        </w:rPr>
        <w:t xml:space="preserve"> </w:t>
      </w:r>
      <w:r w:rsidRPr="0030664B">
        <w:rPr>
          <w:bCs/>
          <w:i/>
          <w:color w:val="000000"/>
          <w:sz w:val="24"/>
          <w:szCs w:val="24"/>
        </w:rPr>
        <w:t xml:space="preserve">Associação Portuguesa para a Promoção da Qualidade Habitacional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 w:rsidRPr="0030664B">
        <w:rPr>
          <w:bCs/>
          <w:i/>
          <w:color w:val="000000"/>
          <w:sz w:val="24"/>
          <w:szCs w:val="24"/>
        </w:rPr>
        <w:t xml:space="preserve"> – Associação </w:t>
      </w:r>
      <w:r>
        <w:rPr>
          <w:bCs/>
          <w:i/>
          <w:color w:val="000000"/>
          <w:sz w:val="24"/>
          <w:szCs w:val="24"/>
        </w:rPr>
        <w:t xml:space="preserve">atualmente </w:t>
      </w:r>
      <w:r w:rsidRPr="0030664B">
        <w:rPr>
          <w:bCs/>
          <w:i/>
          <w:color w:val="000000"/>
          <w:sz w:val="24"/>
          <w:szCs w:val="24"/>
        </w:rPr>
        <w:t>com sede na Federação Nacional de Cooperativa</w:t>
      </w:r>
      <w:r>
        <w:rPr>
          <w:bCs/>
          <w:i/>
          <w:color w:val="000000"/>
          <w:sz w:val="24"/>
          <w:szCs w:val="24"/>
        </w:rPr>
        <w:t>s</w:t>
      </w:r>
      <w:r w:rsidRPr="0030664B">
        <w:rPr>
          <w:bCs/>
          <w:i/>
          <w:color w:val="000000"/>
          <w:sz w:val="24"/>
          <w:szCs w:val="24"/>
        </w:rPr>
        <w:t xml:space="preserve"> de Habitação Económica (FENACHE) e anteriormente com sede no </w:t>
      </w:r>
      <w:r>
        <w:rPr>
          <w:bCs/>
          <w:i/>
          <w:color w:val="000000"/>
          <w:sz w:val="24"/>
          <w:szCs w:val="24"/>
        </w:rPr>
        <w:t xml:space="preserve">Núcleo de </w:t>
      </w:r>
      <w:proofErr w:type="spellStart"/>
      <w:r>
        <w:rPr>
          <w:bCs/>
          <w:i/>
          <w:color w:val="000000"/>
          <w:sz w:val="24"/>
          <w:szCs w:val="24"/>
        </w:rPr>
        <w:t>Arquitectura</w:t>
      </w:r>
      <w:proofErr w:type="spellEnd"/>
      <w:r>
        <w:rPr>
          <w:bCs/>
          <w:i/>
          <w:color w:val="000000"/>
          <w:sz w:val="24"/>
          <w:szCs w:val="24"/>
        </w:rPr>
        <w:t xml:space="preserve"> e Urbanismo do </w:t>
      </w:r>
      <w:r w:rsidRPr="0030664B">
        <w:rPr>
          <w:bCs/>
          <w:i/>
          <w:color w:val="000000"/>
          <w:sz w:val="24"/>
          <w:szCs w:val="24"/>
        </w:rPr>
        <w:t>LNEC.</w:t>
      </w:r>
    </w:p>
    <w:p w14:paraId="5467A6F5" w14:textId="77777777" w:rsidR="00447C30" w:rsidRPr="0030664B" w:rsidRDefault="00447C30" w:rsidP="00447C30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Apoio à Edição: José Baptista Coelho - Lisboa, Encarnação - Olivais Norte.</w:t>
      </w:r>
    </w:p>
    <w:p w14:paraId="277CF878" w14:textId="77777777" w:rsidR="00113D8E" w:rsidRDefault="00113D8E"/>
    <w:sectPr w:rsidR="00113D8E" w:rsidSect="00F226CE">
      <w:footerReference w:type="even" r:id="rId19"/>
      <w:footerReference w:type="default" r:id="rId20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2F93" w14:textId="77777777" w:rsidR="00CB1EAB" w:rsidRDefault="00CB1EAB" w:rsidP="00F226CE">
      <w:r>
        <w:separator/>
      </w:r>
    </w:p>
  </w:endnote>
  <w:endnote w:type="continuationSeparator" w:id="0">
    <w:p w14:paraId="171C4F25" w14:textId="77777777" w:rsidR="00CB1EAB" w:rsidRDefault="00CB1EAB" w:rsidP="00F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6451" w14:textId="77777777" w:rsidR="00AD4832" w:rsidRDefault="006F2568" w:rsidP="006453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4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B61CD1" w14:textId="77777777" w:rsidR="00AD4832" w:rsidRDefault="00AD48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03CD" w14:textId="77777777" w:rsidR="00AD4832" w:rsidRPr="00F226CE" w:rsidRDefault="006F2568" w:rsidP="006453B4">
    <w:pPr>
      <w:pStyle w:val="Rodap"/>
      <w:framePr w:wrap="around" w:vAnchor="text" w:hAnchor="margin" w:xAlign="center" w:y="1"/>
      <w:rPr>
        <w:rStyle w:val="Nmerodepgina"/>
        <w:b w:val="0"/>
        <w:sz w:val="22"/>
        <w:szCs w:val="22"/>
      </w:rPr>
    </w:pPr>
    <w:r w:rsidRPr="00F226CE">
      <w:rPr>
        <w:rStyle w:val="Nmerodepgina"/>
        <w:b w:val="0"/>
        <w:sz w:val="22"/>
        <w:szCs w:val="22"/>
      </w:rPr>
      <w:fldChar w:fldCharType="begin"/>
    </w:r>
    <w:r w:rsidR="00AD4832" w:rsidRPr="00F226CE">
      <w:rPr>
        <w:rStyle w:val="Nmerodepgina"/>
        <w:b w:val="0"/>
        <w:sz w:val="22"/>
        <w:szCs w:val="22"/>
      </w:rPr>
      <w:instrText xml:space="preserve">PAGE  </w:instrText>
    </w:r>
    <w:r w:rsidRPr="00F226CE">
      <w:rPr>
        <w:rStyle w:val="Nmerodepgina"/>
        <w:b w:val="0"/>
        <w:sz w:val="22"/>
        <w:szCs w:val="22"/>
      </w:rPr>
      <w:fldChar w:fldCharType="separate"/>
    </w:r>
    <w:r w:rsidR="00463217">
      <w:rPr>
        <w:rStyle w:val="Nmerodepgina"/>
        <w:b w:val="0"/>
        <w:noProof/>
        <w:sz w:val="22"/>
        <w:szCs w:val="22"/>
      </w:rPr>
      <w:t>1</w:t>
    </w:r>
    <w:r w:rsidRPr="00F226CE">
      <w:rPr>
        <w:rStyle w:val="Nmerodepgina"/>
        <w:b w:val="0"/>
        <w:sz w:val="22"/>
        <w:szCs w:val="22"/>
      </w:rPr>
      <w:fldChar w:fldCharType="end"/>
    </w:r>
  </w:p>
  <w:p w14:paraId="539AA3FE" w14:textId="77777777" w:rsidR="00AD4832" w:rsidRDefault="00AD48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A2C3" w14:textId="77777777" w:rsidR="00CB1EAB" w:rsidRDefault="00CB1EAB" w:rsidP="00F226CE">
      <w:r>
        <w:separator/>
      </w:r>
    </w:p>
  </w:footnote>
  <w:footnote w:type="continuationSeparator" w:id="0">
    <w:p w14:paraId="6BEE099A" w14:textId="77777777" w:rsidR="00CB1EAB" w:rsidRDefault="00CB1EAB" w:rsidP="00F2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8D"/>
    <w:multiLevelType w:val="hybridMultilevel"/>
    <w:tmpl w:val="BC3847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62CCD"/>
    <w:multiLevelType w:val="hybridMultilevel"/>
    <w:tmpl w:val="E6FE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F516A"/>
    <w:multiLevelType w:val="hybridMultilevel"/>
    <w:tmpl w:val="2294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71068"/>
    <w:multiLevelType w:val="hybridMultilevel"/>
    <w:tmpl w:val="0BB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05556"/>
    <w:multiLevelType w:val="hybridMultilevel"/>
    <w:tmpl w:val="908A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30"/>
    <w:rsid w:val="00007FA3"/>
    <w:rsid w:val="00050393"/>
    <w:rsid w:val="000C1B2B"/>
    <w:rsid w:val="000F0FC9"/>
    <w:rsid w:val="000F4AD0"/>
    <w:rsid w:val="00113D8E"/>
    <w:rsid w:val="001210CD"/>
    <w:rsid w:val="00137882"/>
    <w:rsid w:val="0022602E"/>
    <w:rsid w:val="00267C2E"/>
    <w:rsid w:val="002F7A3B"/>
    <w:rsid w:val="00366350"/>
    <w:rsid w:val="003C39DC"/>
    <w:rsid w:val="00447C30"/>
    <w:rsid w:val="00463217"/>
    <w:rsid w:val="004B1EB8"/>
    <w:rsid w:val="004B6627"/>
    <w:rsid w:val="00545A3F"/>
    <w:rsid w:val="005B1027"/>
    <w:rsid w:val="006453B4"/>
    <w:rsid w:val="006F2568"/>
    <w:rsid w:val="00713651"/>
    <w:rsid w:val="007629BE"/>
    <w:rsid w:val="008918E0"/>
    <w:rsid w:val="00930CAC"/>
    <w:rsid w:val="009506F1"/>
    <w:rsid w:val="00975B4B"/>
    <w:rsid w:val="00A500CE"/>
    <w:rsid w:val="00AD4832"/>
    <w:rsid w:val="00AE3293"/>
    <w:rsid w:val="00CB1EAB"/>
    <w:rsid w:val="00D33F07"/>
    <w:rsid w:val="00F10DE6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1BDA1"/>
  <w15:docId w15:val="{5254FFF7-97F1-494C-96AA-83C31A0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30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paragraph" w:styleId="Ttulo4">
    <w:name w:val="heading 4"/>
    <w:basedOn w:val="Normal"/>
    <w:next w:val="Normal"/>
    <w:link w:val="Ttulo4Carter"/>
    <w:autoRedefine/>
    <w:qFormat/>
    <w:rsid w:val="00366350"/>
    <w:pPr>
      <w:spacing w:before="360" w:after="240"/>
      <w:outlineLvl w:val="3"/>
    </w:pPr>
    <w:rPr>
      <w:rFonts w:cs="Arial"/>
      <w:bCs/>
      <w:color w:val="000000"/>
      <w:kern w:val="0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uiPriority w:val="9"/>
    <w:semiHidden/>
    <w:rsid w:val="00447C30"/>
    <w:rPr>
      <w:rFonts w:asciiTheme="majorHAnsi" w:eastAsiaTheme="majorEastAsia" w:hAnsiTheme="majorHAnsi" w:cstheme="majorBidi"/>
      <w:bCs/>
      <w:i/>
      <w:iCs/>
      <w:color w:val="4F81BD" w:themeColor="accent1"/>
      <w:kern w:val="28"/>
      <w:sz w:val="32"/>
      <w:szCs w:val="32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366350"/>
    <w:rPr>
      <w:rFonts w:ascii="Arial" w:eastAsia="Times New Roman" w:hAnsi="Arial" w:cs="Arial"/>
      <w:b/>
      <w:bCs/>
      <w:color w:val="000000"/>
    </w:rPr>
  </w:style>
  <w:style w:type="character" w:customStyle="1" w:styleId="StyleGaramond">
    <w:name w:val="Style Garamond"/>
    <w:rsid w:val="00447C30"/>
    <w:rPr>
      <w:rFonts w:ascii="Times New Roman" w:hAnsi="Times New Roman"/>
      <w:sz w:val="22"/>
    </w:rPr>
  </w:style>
  <w:style w:type="character" w:styleId="Hiperligao">
    <w:name w:val="Hyperlink"/>
    <w:uiPriority w:val="99"/>
    <w:rsid w:val="00447C30"/>
    <w:rPr>
      <w:rFonts w:cs="Times New Roman"/>
      <w:color w:val="0000FF"/>
      <w:u w:val="single"/>
    </w:rPr>
  </w:style>
  <w:style w:type="character" w:customStyle="1" w:styleId="a-size-large">
    <w:name w:val="a-size-large"/>
    <w:basedOn w:val="Tipodeletrapredefinidodopargrafo"/>
    <w:rsid w:val="00447C30"/>
  </w:style>
  <w:style w:type="paragraph" w:styleId="PargrafodaLista">
    <w:name w:val="List Paragraph"/>
    <w:basedOn w:val="Normal"/>
    <w:uiPriority w:val="34"/>
    <w:qFormat/>
    <w:rsid w:val="00447C30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F226CE"/>
  </w:style>
  <w:style w:type="paragraph" w:styleId="Cabealho">
    <w:name w:val="header"/>
    <w:basedOn w:val="Normal"/>
    <w:link w:val="Cabealho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customStyle="1" w:styleId="stylegaramond0">
    <w:name w:val="stylegaramond"/>
    <w:basedOn w:val="Tipodeletrapredefinidodopargrafo"/>
    <w:rsid w:val="009506F1"/>
  </w:style>
  <w:style w:type="paragraph" w:styleId="Textodebalo">
    <w:name w:val="Balloon Text"/>
    <w:basedOn w:val="Normal"/>
    <w:link w:val="TextodebaloCarter"/>
    <w:uiPriority w:val="99"/>
    <w:semiHidden/>
    <w:unhideWhenUsed/>
    <w:rsid w:val="004632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217"/>
    <w:rPr>
      <w:rFonts w:ascii="Tahoma" w:eastAsia="Times New Roman" w:hAnsi="Tahoma" w:cs="Tahoma"/>
      <w:b/>
      <w:kern w:val="28"/>
      <w:sz w:val="16"/>
      <w:szCs w:val="1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602E"/>
    <w:rPr>
      <w:color w:val="605E5C"/>
      <w:shd w:val="clear" w:color="auto" w:fill="E1DFDD"/>
    </w:rPr>
  </w:style>
  <w:style w:type="character" w:customStyle="1" w:styleId="post-labels">
    <w:name w:val="post-labels"/>
    <w:basedOn w:val="Tipodeletrapredefinidodopargrafo"/>
    <w:rsid w:val="0022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blog/post/edit/10780432/2605635125884685678" TargetMode="External"/><Relationship Id="rId13" Type="http://schemas.openxmlformats.org/officeDocument/2006/relationships/hyperlink" Target="http://infohabitar.blogspot.com/search/label/novas%20organiza%C3%A7%C3%B5es%20dom%C3%A9sticas" TargetMode="External"/><Relationship Id="rId18" Type="http://schemas.openxmlformats.org/officeDocument/2006/relationships/hyperlink" Target="mailto:abc@lnec.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habitar.blogspot.com/search/label/infohabitar" TargetMode="External"/><Relationship Id="rId17" Type="http://schemas.openxmlformats.org/officeDocument/2006/relationships/hyperlink" Target="mailto:abc.infohabita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habitar.blogspot.com/search/label/organiza%C3%A7%C3%A3o%20da%20habita%C3%A7%C3%A3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habitar.blogspot.com/search/label/ambientes%20dom%C3%A9stic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habitar.blogspot.com/search/label/novos%20espa%C3%A7os%20habitacionais" TargetMode="External"/><Relationship Id="rId10" Type="http://schemas.openxmlformats.org/officeDocument/2006/relationships/hyperlink" Target="http://infohabitar.blogspot.com/2021/01/diversas-opcoes-para-os-principai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nfohabitar.blogspot.com/search/label/novos%20espa%C3%A7os%20dom%C3%A9stic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1C6FD-DC69-4349-AE57-818D881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2400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Romana</dc:creator>
  <cp:lastModifiedBy>ABC</cp:lastModifiedBy>
  <cp:revision>5</cp:revision>
  <cp:lastPrinted>2020-11-17T11:36:00Z</cp:lastPrinted>
  <dcterms:created xsi:type="dcterms:W3CDTF">2021-12-06T09:24:00Z</dcterms:created>
  <dcterms:modified xsi:type="dcterms:W3CDTF">2021-12-07T19:45:00Z</dcterms:modified>
</cp:coreProperties>
</file>